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7B30" w14:textId="77777777" w:rsidR="007D1401" w:rsidRPr="007D1401" w:rsidRDefault="007D1401" w:rsidP="007D1401">
      <w:pPr>
        <w:pStyle w:val="Heading1"/>
        <w:ind w:left="202" w:firstLine="0"/>
        <w:jc w:val="center"/>
        <w:rPr>
          <w:rFonts w:ascii="Arial" w:hAnsi="Arial" w:cs="Arial"/>
          <w:sz w:val="28"/>
          <w:szCs w:val="28"/>
        </w:rPr>
      </w:pPr>
      <w:bookmarkStart w:id="0" w:name="_GoBack"/>
      <w:bookmarkEnd w:id="0"/>
      <w:r>
        <w:rPr>
          <w:rFonts w:ascii="Arial" w:hAnsi="Arial" w:cs="Arial"/>
          <w:sz w:val="28"/>
          <w:szCs w:val="28"/>
        </w:rPr>
        <w:t xml:space="preserve">Appendix I - </w:t>
      </w:r>
      <w:r w:rsidRPr="007D1401">
        <w:rPr>
          <w:rFonts w:ascii="Arial" w:hAnsi="Arial" w:cs="Arial"/>
          <w:sz w:val="28"/>
          <w:szCs w:val="28"/>
        </w:rPr>
        <w:t>Terms of Reference</w:t>
      </w:r>
    </w:p>
    <w:p w14:paraId="1F23B03D" w14:textId="77777777" w:rsidR="007D1401" w:rsidRPr="007D1401" w:rsidRDefault="007D1401" w:rsidP="007D1401">
      <w:pPr>
        <w:pStyle w:val="Heading1"/>
        <w:ind w:left="202" w:firstLine="0"/>
        <w:rPr>
          <w:rFonts w:ascii="Arial" w:hAnsi="Arial" w:cs="Arial"/>
        </w:rPr>
      </w:pPr>
    </w:p>
    <w:p w14:paraId="372CD8CC" w14:textId="77777777" w:rsidR="007D1401" w:rsidRPr="007D1401" w:rsidRDefault="007D1401" w:rsidP="007D1401">
      <w:pPr>
        <w:pStyle w:val="Heading1"/>
        <w:numPr>
          <w:ilvl w:val="0"/>
          <w:numId w:val="6"/>
        </w:numPr>
        <w:rPr>
          <w:rFonts w:ascii="Arial" w:hAnsi="Arial" w:cs="Arial"/>
        </w:rPr>
      </w:pPr>
      <w:r w:rsidRPr="007D1401">
        <w:rPr>
          <w:rFonts w:ascii="Arial" w:hAnsi="Arial" w:cs="Arial"/>
        </w:rPr>
        <w:t>Background:</w:t>
      </w:r>
    </w:p>
    <w:p w14:paraId="4E85CC45" w14:textId="77777777" w:rsidR="007D1401" w:rsidRPr="007D1401" w:rsidRDefault="007D1401" w:rsidP="007D1401">
      <w:pPr>
        <w:pStyle w:val="BodyText"/>
        <w:spacing w:before="11"/>
        <w:rPr>
          <w:b/>
          <w:sz w:val="24"/>
        </w:rPr>
      </w:pPr>
    </w:p>
    <w:p w14:paraId="7DFA5BD0" w14:textId="77777777" w:rsidR="007D1401" w:rsidRPr="007D1401" w:rsidRDefault="007D1401" w:rsidP="007D1401">
      <w:pPr>
        <w:pStyle w:val="BodyText"/>
        <w:spacing w:line="254" w:lineRule="auto"/>
        <w:ind w:left="202" w:right="116"/>
        <w:jc w:val="both"/>
      </w:pPr>
      <w:r w:rsidRPr="007D1401">
        <w:t>UNEP DTU Partnership is providing support to the Government of Antigua and Barbuda in the implementation of their Capacity Building Initiative for Transparency (CBIT) project, with funds from the Global Environment Facility (GEF) for enhanced transparency activities. The GEF funded CBIT project runs between 2020 to 2022 with the objective to promote mainstreaming of NDC monitoring, reporting and verification into domestic systems and strengthen institutional capacity to enable routine, concurrent and participatory monitoring processes that enhance transparency under the Paris Agreement. Under this, UNEP DTU Partnership will provide support in various areas, whereof one is to mainstream gender considerations into the transparency system.</w:t>
      </w:r>
    </w:p>
    <w:p w14:paraId="08A13839" w14:textId="77777777" w:rsidR="007D1401" w:rsidRPr="007D1401" w:rsidRDefault="007D1401" w:rsidP="007D1401">
      <w:pPr>
        <w:pStyle w:val="BodyText"/>
        <w:spacing w:line="254" w:lineRule="auto"/>
        <w:ind w:left="202" w:right="116"/>
        <w:jc w:val="both"/>
      </w:pPr>
    </w:p>
    <w:p w14:paraId="2BF68759" w14:textId="77777777" w:rsidR="007D1401" w:rsidRPr="007D1401" w:rsidRDefault="007D1401" w:rsidP="007D1401">
      <w:pPr>
        <w:pStyle w:val="BodyText"/>
        <w:spacing w:line="254" w:lineRule="auto"/>
        <w:ind w:left="202" w:right="116"/>
        <w:jc w:val="both"/>
      </w:pPr>
      <w:r w:rsidRPr="007D1401">
        <w:t>For this purpose, a consultant will contribute to support this process as per the attached terms of reference.</w:t>
      </w:r>
    </w:p>
    <w:p w14:paraId="2BB3345B" w14:textId="77777777" w:rsidR="007D1401" w:rsidRPr="007D1401" w:rsidRDefault="007D1401" w:rsidP="007D1401">
      <w:pPr>
        <w:pStyle w:val="BodyText"/>
        <w:spacing w:before="2"/>
      </w:pPr>
    </w:p>
    <w:p w14:paraId="14EC446E" w14:textId="77777777" w:rsidR="007D1401" w:rsidRPr="007D1401" w:rsidRDefault="007D1401" w:rsidP="007D1401">
      <w:pPr>
        <w:pStyle w:val="Heading1"/>
        <w:numPr>
          <w:ilvl w:val="0"/>
          <w:numId w:val="4"/>
        </w:numPr>
        <w:tabs>
          <w:tab w:val="left" w:pos="426"/>
        </w:tabs>
        <w:ind w:hanging="249"/>
        <w:jc w:val="both"/>
        <w:rPr>
          <w:rFonts w:ascii="Arial" w:eastAsia="Arial" w:hAnsi="Arial" w:cs="Arial"/>
          <w:bCs w:val="0"/>
        </w:rPr>
      </w:pPr>
      <w:bookmarkStart w:id="1" w:name="2._Objective:"/>
      <w:bookmarkEnd w:id="1"/>
      <w:r w:rsidRPr="007D1401">
        <w:rPr>
          <w:rFonts w:ascii="Arial" w:eastAsia="Arial" w:hAnsi="Arial" w:cs="Arial"/>
          <w:bCs w:val="0"/>
        </w:rPr>
        <w:t>Objective:</w:t>
      </w:r>
    </w:p>
    <w:p w14:paraId="4709DA5F" w14:textId="77777777" w:rsidR="007D1401" w:rsidRPr="007D1401" w:rsidRDefault="007D1401" w:rsidP="007D1401">
      <w:pPr>
        <w:pStyle w:val="BodyText"/>
        <w:spacing w:before="11"/>
      </w:pPr>
    </w:p>
    <w:p w14:paraId="600B4102" w14:textId="77777777" w:rsidR="007D1401" w:rsidRPr="007D1401" w:rsidRDefault="007D1401" w:rsidP="007D1401">
      <w:pPr>
        <w:pStyle w:val="BodyText"/>
        <w:spacing w:line="254" w:lineRule="auto"/>
        <w:ind w:left="202" w:right="259"/>
        <w:jc w:val="both"/>
      </w:pPr>
      <w:r w:rsidRPr="007D1401">
        <w:t xml:space="preserve">The objective of the consultancy is to provide technical support to implement two outputs as per the terms of reference, in close collaboration with the national CBIT team, the UNEP DTU team, and other relevant stakeholders working on climate issues in Antigua and Barbuda. </w:t>
      </w:r>
    </w:p>
    <w:p w14:paraId="2AC9C30B" w14:textId="77777777" w:rsidR="007D1401" w:rsidRPr="007D1401" w:rsidRDefault="007D1401" w:rsidP="007D1401">
      <w:pPr>
        <w:pStyle w:val="BodyText"/>
        <w:spacing w:before="5"/>
      </w:pPr>
    </w:p>
    <w:p w14:paraId="194C4441" w14:textId="441EA987" w:rsidR="007D1401" w:rsidRPr="007D1401" w:rsidRDefault="007D1401" w:rsidP="007D1401">
      <w:pPr>
        <w:pStyle w:val="Heading1"/>
        <w:numPr>
          <w:ilvl w:val="0"/>
          <w:numId w:val="4"/>
        </w:numPr>
        <w:tabs>
          <w:tab w:val="left" w:pos="426"/>
        </w:tabs>
        <w:spacing w:before="1"/>
        <w:ind w:hanging="249"/>
        <w:rPr>
          <w:rFonts w:ascii="Arial" w:hAnsi="Arial" w:cs="Arial"/>
        </w:rPr>
      </w:pPr>
      <w:bookmarkStart w:id="2" w:name="3._Scope_of_work:"/>
      <w:bookmarkEnd w:id="2"/>
      <w:r w:rsidRPr="007D1401">
        <w:rPr>
          <w:rFonts w:ascii="Arial" w:hAnsi="Arial" w:cs="Arial"/>
        </w:rPr>
        <w:t xml:space="preserve">Scope </w:t>
      </w:r>
      <w:proofErr w:type="gramStart"/>
      <w:r w:rsidRPr="007D1401">
        <w:rPr>
          <w:rFonts w:ascii="Arial" w:hAnsi="Arial" w:cs="Arial"/>
        </w:rPr>
        <w:t>of</w:t>
      </w:r>
      <w:r w:rsidR="0026227A">
        <w:rPr>
          <w:rFonts w:ascii="Arial" w:hAnsi="Arial" w:cs="Arial"/>
        </w:rPr>
        <w:t xml:space="preserve"> </w:t>
      </w:r>
      <w:r w:rsidRPr="007D1401">
        <w:rPr>
          <w:rFonts w:ascii="Arial" w:hAnsi="Arial" w:cs="Arial"/>
          <w:spacing w:val="-48"/>
        </w:rPr>
        <w:t xml:space="preserve"> </w:t>
      </w:r>
      <w:r w:rsidRPr="007D1401">
        <w:rPr>
          <w:rFonts w:ascii="Arial" w:hAnsi="Arial" w:cs="Arial"/>
        </w:rPr>
        <w:t>work</w:t>
      </w:r>
      <w:proofErr w:type="gramEnd"/>
      <w:r w:rsidRPr="007D1401">
        <w:rPr>
          <w:rFonts w:ascii="Arial" w:hAnsi="Arial" w:cs="Arial"/>
        </w:rPr>
        <w:t>:</w:t>
      </w:r>
    </w:p>
    <w:p w14:paraId="1DE3417D" w14:textId="77777777" w:rsidR="007D1401" w:rsidRPr="007D1401" w:rsidRDefault="007D1401" w:rsidP="007D1401">
      <w:pPr>
        <w:pStyle w:val="BodyText"/>
        <w:rPr>
          <w:b/>
        </w:rPr>
      </w:pPr>
    </w:p>
    <w:p w14:paraId="32542404" w14:textId="77777777" w:rsidR="007D1401" w:rsidRPr="007D1401" w:rsidRDefault="007D1401" w:rsidP="007D1401">
      <w:pPr>
        <w:pStyle w:val="BodyText"/>
        <w:ind w:left="101"/>
      </w:pPr>
      <w:r w:rsidRPr="007D1401">
        <w:t xml:space="preserve">The consultant </w:t>
      </w:r>
      <w:proofErr w:type="gramStart"/>
      <w:r w:rsidRPr="007D1401">
        <w:t>is expected</w:t>
      </w:r>
      <w:proofErr w:type="gramEnd"/>
      <w:r w:rsidRPr="007D1401">
        <w:t xml:space="preserve"> to coordinate and develop the outputs in the terms of reference, which include to develop a gender action plan and to develop gender sensitive indicators for the country. </w:t>
      </w:r>
    </w:p>
    <w:p w14:paraId="60F66B7E" w14:textId="77777777" w:rsidR="007D1401" w:rsidRPr="007D1401" w:rsidRDefault="007D1401" w:rsidP="007D1401">
      <w:pPr>
        <w:pStyle w:val="BodyText"/>
        <w:spacing w:before="9"/>
        <w:rPr>
          <w:sz w:val="13"/>
        </w:rPr>
      </w:pPr>
    </w:p>
    <w:p w14:paraId="6886A9E5" w14:textId="77777777" w:rsidR="007D1401" w:rsidRPr="007D1401" w:rsidRDefault="007D1401" w:rsidP="007D1401">
      <w:pPr>
        <w:pStyle w:val="BodyText"/>
        <w:spacing w:before="94"/>
        <w:ind w:left="102" w:right="446" w:hanging="1"/>
        <w:jc w:val="both"/>
      </w:pPr>
      <w:r w:rsidRPr="007D1401">
        <w:t>Activities</w:t>
      </w:r>
      <w:r w:rsidRPr="007D1401">
        <w:rPr>
          <w:spacing w:val="-7"/>
        </w:rPr>
        <w:t xml:space="preserve"> </w:t>
      </w:r>
      <w:r w:rsidRPr="007D1401">
        <w:t>of</w:t>
      </w:r>
      <w:r w:rsidRPr="007D1401">
        <w:rPr>
          <w:spacing w:val="-6"/>
        </w:rPr>
        <w:t xml:space="preserve"> </w:t>
      </w:r>
      <w:r w:rsidRPr="007D1401">
        <w:t>consultant</w:t>
      </w:r>
      <w:r w:rsidRPr="007D1401">
        <w:rPr>
          <w:spacing w:val="-8"/>
        </w:rPr>
        <w:t xml:space="preserve"> </w:t>
      </w:r>
      <w:r w:rsidRPr="007D1401">
        <w:t>include</w:t>
      </w:r>
      <w:r w:rsidRPr="007D1401">
        <w:rPr>
          <w:spacing w:val="-7"/>
        </w:rPr>
        <w:t xml:space="preserve"> </w:t>
      </w:r>
      <w:proofErr w:type="gramStart"/>
      <w:r w:rsidRPr="007D1401">
        <w:t>to develop</w:t>
      </w:r>
      <w:proofErr w:type="gramEnd"/>
      <w:r w:rsidRPr="007D1401">
        <w:t xml:space="preserve"> the Gender Action Plan, to collaborate with other experts to develop gender sensitive National Determined Contribution (NDC) indicators as per the attached terms of reference. It also includes a travel to Antigua and Barbuda (given that the current situation with the covid-19 pandemic allows it, and it is responsible to travel), and funds for outreach materials.</w:t>
      </w:r>
    </w:p>
    <w:p w14:paraId="1130B054" w14:textId="77777777" w:rsidR="007D1401" w:rsidRPr="007D1401" w:rsidRDefault="007D1401" w:rsidP="007D1401">
      <w:pPr>
        <w:pStyle w:val="BodyText"/>
        <w:spacing w:before="94"/>
        <w:ind w:left="102" w:right="446" w:hanging="1"/>
        <w:jc w:val="both"/>
      </w:pPr>
      <w:r w:rsidRPr="007D1401">
        <w:t xml:space="preserve">The work also includes </w:t>
      </w:r>
      <w:proofErr w:type="gramStart"/>
      <w:r w:rsidRPr="007D1401">
        <w:t>to review and address all comments on project documents, proposed responses and ensure</w:t>
      </w:r>
      <w:proofErr w:type="gramEnd"/>
      <w:r w:rsidRPr="007D1401">
        <w:t xml:space="preserve"> that the documents are developed timely and with high quality.</w:t>
      </w:r>
    </w:p>
    <w:p w14:paraId="13E93CD7" w14:textId="77777777" w:rsidR="007D1401" w:rsidRPr="007D1401" w:rsidRDefault="007D1401" w:rsidP="007D1401">
      <w:pPr>
        <w:pStyle w:val="BodyText"/>
        <w:spacing w:before="9"/>
      </w:pPr>
    </w:p>
    <w:p w14:paraId="75CFD207" w14:textId="77777777" w:rsidR="007D1401" w:rsidRPr="007D1401" w:rsidRDefault="007D1401" w:rsidP="007D1401">
      <w:pPr>
        <w:pStyle w:val="BodyText"/>
        <w:ind w:left="101" w:right="118" w:firstLine="1"/>
        <w:jc w:val="both"/>
      </w:pPr>
      <w:r w:rsidRPr="007D1401">
        <w:t xml:space="preserve">Ensure that all activities </w:t>
      </w:r>
      <w:proofErr w:type="gramStart"/>
      <w:r w:rsidRPr="007D1401">
        <w:t>are aligned with national priorities and coordinated with on-going projects in the country</w:t>
      </w:r>
      <w:proofErr w:type="gramEnd"/>
      <w:r w:rsidRPr="007D1401">
        <w:t>. The consultant will conduct initial consultations with stakeholders in the concerned ministries, government departments, private sector and other relevant organizations to collect data and information available.</w:t>
      </w:r>
    </w:p>
    <w:p w14:paraId="40B95326" w14:textId="77777777" w:rsidR="007D1401" w:rsidRPr="007D1401" w:rsidRDefault="007D1401" w:rsidP="007D1401">
      <w:pPr>
        <w:pStyle w:val="BodyText"/>
        <w:spacing w:before="10"/>
        <w:rPr>
          <w:sz w:val="23"/>
        </w:rPr>
      </w:pPr>
    </w:p>
    <w:p w14:paraId="20B7B558" w14:textId="77777777" w:rsidR="007D1401" w:rsidRPr="007D1401" w:rsidRDefault="007D1401" w:rsidP="007D1401">
      <w:pPr>
        <w:pStyle w:val="Heading1"/>
        <w:numPr>
          <w:ilvl w:val="0"/>
          <w:numId w:val="4"/>
        </w:numPr>
        <w:tabs>
          <w:tab w:val="left" w:pos="419"/>
        </w:tabs>
        <w:ind w:left="418" w:hanging="216"/>
        <w:rPr>
          <w:rFonts w:ascii="Arial" w:hAnsi="Arial" w:cs="Arial"/>
        </w:rPr>
      </w:pPr>
      <w:bookmarkStart w:id="3" w:name="4._Deliverables:"/>
      <w:bookmarkEnd w:id="3"/>
      <w:r>
        <w:rPr>
          <w:rFonts w:ascii="Arial" w:hAnsi="Arial" w:cs="Arial"/>
        </w:rPr>
        <w:t>Overall outcomes</w:t>
      </w:r>
    </w:p>
    <w:p w14:paraId="42B4B0F5" w14:textId="77777777" w:rsidR="007D1401" w:rsidRPr="007D1401" w:rsidRDefault="007D1401" w:rsidP="007D1401">
      <w:pPr>
        <w:pStyle w:val="BodyText"/>
        <w:spacing w:before="1"/>
        <w:rPr>
          <w:b/>
          <w:sz w:val="25"/>
        </w:rPr>
      </w:pPr>
    </w:p>
    <w:p w14:paraId="28F5857D" w14:textId="77777777" w:rsidR="007D1401" w:rsidRPr="007D1401" w:rsidRDefault="007D1401" w:rsidP="007D1401">
      <w:pPr>
        <w:pStyle w:val="BodyText"/>
        <w:spacing w:line="252" w:lineRule="auto"/>
        <w:ind w:left="415"/>
      </w:pPr>
      <w:r w:rsidRPr="007D1401">
        <w:t xml:space="preserve">The main deliverables include: </w:t>
      </w:r>
      <w:r w:rsidRPr="007D1401">
        <w:br/>
      </w:r>
    </w:p>
    <w:p w14:paraId="4D698AAC" w14:textId="77777777" w:rsidR="0026227A" w:rsidRPr="007D1401" w:rsidRDefault="0026227A" w:rsidP="0026227A">
      <w:pPr>
        <w:widowControl/>
        <w:numPr>
          <w:ilvl w:val="0"/>
          <w:numId w:val="5"/>
        </w:numPr>
        <w:autoSpaceDE/>
        <w:autoSpaceDN/>
      </w:pPr>
      <w:r w:rsidRPr="007D1401">
        <w:t>Collaborative first draft of the report with NDC indicators. Due March 2021.</w:t>
      </w:r>
    </w:p>
    <w:p w14:paraId="3A56386E" w14:textId="77777777" w:rsidR="0026227A" w:rsidRDefault="0026227A" w:rsidP="0026227A">
      <w:pPr>
        <w:widowControl/>
        <w:numPr>
          <w:ilvl w:val="0"/>
          <w:numId w:val="5"/>
        </w:numPr>
        <w:autoSpaceDE/>
        <w:autoSpaceDN/>
      </w:pPr>
      <w:r w:rsidRPr="007D1401">
        <w:t xml:space="preserve">Revised report, incorporating </w:t>
      </w:r>
      <w:proofErr w:type="gramStart"/>
      <w:r w:rsidRPr="007D1401">
        <w:t>comments and stakeholder inputs</w:t>
      </w:r>
      <w:proofErr w:type="gramEnd"/>
      <w:r w:rsidRPr="007D1401">
        <w:t xml:space="preserve"> and other reviews, paying specific attention to the gender-sensitive issues and challenges that the stakeholders identified. Due June 2021.</w:t>
      </w:r>
    </w:p>
    <w:p w14:paraId="6E0EE81F" w14:textId="5FC5979C" w:rsidR="007D1401" w:rsidRPr="007D1401" w:rsidRDefault="007D1401" w:rsidP="0026227A">
      <w:pPr>
        <w:widowControl/>
        <w:numPr>
          <w:ilvl w:val="0"/>
          <w:numId w:val="5"/>
        </w:numPr>
        <w:autoSpaceDE/>
        <w:autoSpaceDN/>
      </w:pPr>
      <w:r w:rsidRPr="007D1401">
        <w:t>Gender Action Plan that fits the gender-climate intersection of Antigua &amp; Barbuda. Due August 2021.</w:t>
      </w:r>
    </w:p>
    <w:p w14:paraId="39906FCA" w14:textId="12AC2452" w:rsidR="007D1401" w:rsidRPr="0026227A" w:rsidRDefault="007D1401" w:rsidP="0026227A">
      <w:pPr>
        <w:widowControl/>
        <w:numPr>
          <w:ilvl w:val="0"/>
          <w:numId w:val="5"/>
        </w:numPr>
        <w:autoSpaceDE/>
        <w:autoSpaceDN/>
      </w:pPr>
      <w:r w:rsidRPr="007D1401">
        <w:t>Outreach material that will serve to teach and expand the reach of the Gender Action Plan. Due September 2021.</w:t>
      </w:r>
    </w:p>
    <w:p w14:paraId="751D7B0F" w14:textId="77777777" w:rsidR="007D1401" w:rsidRPr="007D1401" w:rsidRDefault="007D1401" w:rsidP="007D1401">
      <w:pPr>
        <w:pStyle w:val="ListParagraph"/>
        <w:tabs>
          <w:tab w:val="left" w:pos="1543"/>
        </w:tabs>
        <w:ind w:left="0" w:right="1053" w:firstLine="0"/>
        <w:jc w:val="both"/>
      </w:pPr>
    </w:p>
    <w:p w14:paraId="0706F71F" w14:textId="77777777" w:rsidR="007D1401" w:rsidRPr="007D1401" w:rsidRDefault="007D1401" w:rsidP="007D1401">
      <w:pPr>
        <w:pStyle w:val="BodyText"/>
        <w:spacing w:before="9"/>
        <w:rPr>
          <w:sz w:val="21"/>
        </w:rPr>
      </w:pPr>
    </w:p>
    <w:p w14:paraId="31431FBA" w14:textId="77777777" w:rsidR="007D1401" w:rsidRPr="007D1401" w:rsidRDefault="007D1401" w:rsidP="007D1401">
      <w:pPr>
        <w:pStyle w:val="BodyText"/>
        <w:spacing w:line="230" w:lineRule="auto"/>
        <w:ind w:left="416" w:right="1051"/>
        <w:jc w:val="both"/>
      </w:pPr>
      <w:r w:rsidRPr="007D1401">
        <w:t xml:space="preserve">UNEP DTU Partnership (UDP) will review all written deliverables before </w:t>
      </w:r>
      <w:proofErr w:type="gramStart"/>
      <w:r w:rsidRPr="007D1401">
        <w:t>being finalized</w:t>
      </w:r>
      <w:proofErr w:type="gramEnd"/>
      <w:r w:rsidRPr="007D1401">
        <w:t xml:space="preserve">. This includes: </w:t>
      </w:r>
      <w:proofErr w:type="spellStart"/>
      <w:r w:rsidRPr="007D1401">
        <w:t>i</w:t>
      </w:r>
      <w:proofErr w:type="spellEnd"/>
      <w:r w:rsidRPr="007D1401">
        <w:t xml:space="preserve">) all reports to </w:t>
      </w:r>
      <w:proofErr w:type="gramStart"/>
      <w:r w:rsidRPr="007D1401">
        <w:t>be drafted</w:t>
      </w:r>
      <w:proofErr w:type="gramEnd"/>
      <w:r w:rsidRPr="007D1401">
        <w:t>; ii) UDP reserves sufficient time to review in detail and provide feedback; and iii) UDP will sign</w:t>
      </w:r>
      <w:r w:rsidRPr="007D1401">
        <w:rPr>
          <w:rFonts w:ascii="Cambria Math" w:hAnsi="Cambria Math" w:cs="Cambria Math"/>
        </w:rPr>
        <w:t>‐</w:t>
      </w:r>
      <w:r w:rsidRPr="007D1401">
        <w:t xml:space="preserve">off on final version. </w:t>
      </w:r>
      <w:proofErr w:type="gramStart"/>
      <w:r w:rsidRPr="007D1401">
        <w:t>UDP 's</w:t>
      </w:r>
      <w:proofErr w:type="gramEnd"/>
      <w:r w:rsidRPr="007D1401">
        <w:t xml:space="preserve"> role will be to review final outputs, offer feedback, and ensure coherence with CBIT guidelines and best practices.</w:t>
      </w:r>
    </w:p>
    <w:p w14:paraId="7724F6A3" w14:textId="77777777" w:rsidR="007D1401" w:rsidRPr="007D1401" w:rsidRDefault="007D1401" w:rsidP="007D1401">
      <w:pPr>
        <w:pStyle w:val="BodyText"/>
        <w:spacing w:before="1"/>
        <w:rPr>
          <w:sz w:val="27"/>
        </w:rPr>
      </w:pPr>
    </w:p>
    <w:p w14:paraId="6016C3C6" w14:textId="77777777" w:rsidR="007D1401" w:rsidRDefault="007D1401" w:rsidP="007D1401">
      <w:pPr>
        <w:pStyle w:val="Heading1"/>
        <w:numPr>
          <w:ilvl w:val="0"/>
          <w:numId w:val="4"/>
        </w:numPr>
        <w:tabs>
          <w:tab w:val="left" w:pos="419"/>
        </w:tabs>
        <w:spacing w:before="1"/>
        <w:ind w:left="418" w:hanging="216"/>
        <w:rPr>
          <w:rFonts w:ascii="Arial" w:hAnsi="Arial" w:cs="Arial"/>
        </w:rPr>
      </w:pPr>
      <w:bookmarkStart w:id="4" w:name="7._Payment:"/>
      <w:bookmarkEnd w:id="4"/>
      <w:r>
        <w:rPr>
          <w:rFonts w:ascii="Arial" w:hAnsi="Arial" w:cs="Arial"/>
        </w:rPr>
        <w:t>Deliverables and Payment</w:t>
      </w:r>
      <w:r w:rsidRPr="007D1401">
        <w:rPr>
          <w:rFonts w:ascii="Arial" w:hAnsi="Arial" w:cs="Arial"/>
        </w:rPr>
        <w:t>:</w:t>
      </w:r>
    </w:p>
    <w:p w14:paraId="646166CF" w14:textId="77777777" w:rsidR="007D1401" w:rsidRDefault="007D1401" w:rsidP="007D1401">
      <w:pPr>
        <w:pStyle w:val="Heading1"/>
        <w:tabs>
          <w:tab w:val="left" w:pos="419"/>
        </w:tabs>
        <w:spacing w:before="1"/>
        <w:ind w:left="418" w:firstLine="0"/>
        <w:rPr>
          <w:rFonts w:ascii="Arial" w:hAnsi="Arial" w:cs="Arial"/>
        </w:rPr>
      </w:pPr>
    </w:p>
    <w:p w14:paraId="07B1F1EA" w14:textId="77777777" w:rsidR="007D1401" w:rsidRDefault="007D1401" w:rsidP="007D1401">
      <w:pPr>
        <w:pStyle w:val="BodyText"/>
        <w:spacing w:before="11"/>
        <w:ind w:left="415" w:right="1051"/>
        <w:jc w:val="both"/>
      </w:pPr>
      <w:r w:rsidRPr="00CE68E2">
        <w:lastRenderedPageBreak/>
        <w:t xml:space="preserve">The consultancy fee is </w:t>
      </w:r>
      <w:r>
        <w:t xml:space="preserve">USD 28,000 to </w:t>
      </w:r>
      <w:proofErr w:type="gramStart"/>
      <w:r>
        <w:t>be paid</w:t>
      </w:r>
      <w:proofErr w:type="gramEnd"/>
      <w:r>
        <w:t xml:space="preserve"> in twelve</w:t>
      </w:r>
      <w:r w:rsidRPr="00CE68E2">
        <w:t xml:space="preserve"> instalments and subject to satisfactory deliverables. </w:t>
      </w:r>
      <w:r>
        <w:t>The payment schedule is as follows:</w:t>
      </w:r>
    </w:p>
    <w:p w14:paraId="509A41E6" w14:textId="77777777" w:rsidR="007D1401" w:rsidRDefault="007D1401" w:rsidP="007D1401">
      <w:pPr>
        <w:pStyle w:val="BodyText"/>
        <w:spacing w:before="11"/>
        <w:ind w:left="415" w:right="1051"/>
        <w:jc w:val="both"/>
      </w:pPr>
    </w:p>
    <w:tbl>
      <w:tblPr>
        <w:tblStyle w:val="TableGrid"/>
        <w:tblW w:w="0" w:type="auto"/>
        <w:tblInd w:w="415" w:type="dxa"/>
        <w:tblLook w:val="04A0" w:firstRow="1" w:lastRow="0" w:firstColumn="1" w:lastColumn="0" w:noHBand="0" w:noVBand="1"/>
      </w:tblPr>
      <w:tblGrid>
        <w:gridCol w:w="2136"/>
        <w:gridCol w:w="5099"/>
        <w:gridCol w:w="2770"/>
      </w:tblGrid>
      <w:tr w:rsidR="007D1401" w14:paraId="2FEABC2F" w14:textId="77777777" w:rsidTr="00D36B12">
        <w:tc>
          <w:tcPr>
            <w:tcW w:w="2136" w:type="dxa"/>
          </w:tcPr>
          <w:p w14:paraId="48DEEE9E" w14:textId="77777777" w:rsidR="007D1401" w:rsidRDefault="007D1401" w:rsidP="00D36B12">
            <w:pPr>
              <w:pStyle w:val="BodyText"/>
              <w:spacing w:before="11"/>
              <w:ind w:right="1051"/>
              <w:jc w:val="both"/>
            </w:pPr>
            <w:r>
              <w:t>Payment (USD)</w:t>
            </w:r>
          </w:p>
        </w:tc>
        <w:tc>
          <w:tcPr>
            <w:tcW w:w="5099" w:type="dxa"/>
          </w:tcPr>
          <w:p w14:paraId="2B7509FA" w14:textId="77777777" w:rsidR="007D1401" w:rsidRDefault="007D1401" w:rsidP="00D36B12">
            <w:pPr>
              <w:pStyle w:val="BodyText"/>
              <w:spacing w:before="11"/>
              <w:ind w:right="1051"/>
              <w:jc w:val="both"/>
            </w:pPr>
            <w:r>
              <w:t>Description</w:t>
            </w:r>
          </w:p>
        </w:tc>
        <w:tc>
          <w:tcPr>
            <w:tcW w:w="2770" w:type="dxa"/>
          </w:tcPr>
          <w:p w14:paraId="440C88D9" w14:textId="77777777" w:rsidR="007D1401" w:rsidRDefault="007D1401" w:rsidP="00D36B12">
            <w:pPr>
              <w:pStyle w:val="BodyText"/>
              <w:spacing w:before="11"/>
              <w:ind w:right="1051"/>
              <w:jc w:val="both"/>
            </w:pPr>
            <w:r>
              <w:t>Indicative due date</w:t>
            </w:r>
          </w:p>
        </w:tc>
      </w:tr>
      <w:tr w:rsidR="007D1401" w14:paraId="6079ED75" w14:textId="77777777" w:rsidTr="00D36B12">
        <w:tc>
          <w:tcPr>
            <w:tcW w:w="2136" w:type="dxa"/>
          </w:tcPr>
          <w:p w14:paraId="5B421843" w14:textId="77777777" w:rsidR="007D1401" w:rsidRDefault="007D1401" w:rsidP="00D36B12">
            <w:pPr>
              <w:pStyle w:val="BodyText"/>
              <w:spacing w:before="11"/>
              <w:ind w:right="1051"/>
              <w:jc w:val="both"/>
            </w:pPr>
            <w:r>
              <w:t>2,000</w:t>
            </w:r>
          </w:p>
        </w:tc>
        <w:tc>
          <w:tcPr>
            <w:tcW w:w="5099" w:type="dxa"/>
          </w:tcPr>
          <w:p w14:paraId="11A99D3B" w14:textId="4B01D9BD" w:rsidR="007D1401" w:rsidRPr="00D10CA4" w:rsidRDefault="009B1C96" w:rsidP="00D36B12">
            <w:pPr>
              <w:pStyle w:val="BodyText"/>
              <w:spacing w:before="11"/>
              <w:jc w:val="both"/>
            </w:pPr>
            <w:r w:rsidRPr="001229A9">
              <w:rPr>
                <w:b/>
              </w:rPr>
              <w:t>Deliverable 1</w:t>
            </w:r>
            <w:r>
              <w:t xml:space="preserve">: </w:t>
            </w:r>
            <w:r w:rsidR="007D1401" w:rsidRPr="00D10CA4">
              <w:t>Context-specific guide that contains information on the situation of A&amp;B NDC tracking and gender.</w:t>
            </w:r>
          </w:p>
        </w:tc>
        <w:tc>
          <w:tcPr>
            <w:tcW w:w="2770" w:type="dxa"/>
          </w:tcPr>
          <w:p w14:paraId="3301A093" w14:textId="77777777" w:rsidR="007D1401" w:rsidRDefault="007D1401" w:rsidP="00D36B12">
            <w:pPr>
              <w:pStyle w:val="BodyText"/>
              <w:spacing w:before="11"/>
              <w:ind w:right="1051"/>
              <w:jc w:val="both"/>
            </w:pPr>
            <w:r>
              <w:t>August 2020</w:t>
            </w:r>
          </w:p>
        </w:tc>
      </w:tr>
      <w:tr w:rsidR="007D1401" w14:paraId="3B512AE7" w14:textId="77777777" w:rsidTr="00D36B12">
        <w:tc>
          <w:tcPr>
            <w:tcW w:w="2136" w:type="dxa"/>
          </w:tcPr>
          <w:p w14:paraId="40979B56" w14:textId="77777777" w:rsidR="007D1401" w:rsidRDefault="007D1401" w:rsidP="00D36B12">
            <w:pPr>
              <w:pStyle w:val="BodyText"/>
              <w:spacing w:before="11"/>
              <w:ind w:right="1051"/>
              <w:jc w:val="both"/>
            </w:pPr>
            <w:r>
              <w:t>2,000</w:t>
            </w:r>
          </w:p>
        </w:tc>
        <w:tc>
          <w:tcPr>
            <w:tcW w:w="5099" w:type="dxa"/>
          </w:tcPr>
          <w:p w14:paraId="132F196C" w14:textId="629BB001" w:rsidR="007D1401" w:rsidRPr="00D10CA4" w:rsidRDefault="009B1C96" w:rsidP="00D36B12">
            <w:pPr>
              <w:pStyle w:val="BodyText"/>
              <w:spacing w:before="11"/>
              <w:jc w:val="both"/>
            </w:pPr>
            <w:r w:rsidRPr="001229A9">
              <w:rPr>
                <w:b/>
              </w:rPr>
              <w:t>Deliverable 2</w:t>
            </w:r>
            <w:r>
              <w:t xml:space="preserve">: </w:t>
            </w:r>
            <w:r w:rsidR="007D1401" w:rsidRPr="00D10CA4">
              <w:t>Report which describes and assesses the gender-specific issues and vulnerabilities in relation to the effects of climate change in A&amp;B and evaluate, through the analysis of best practices and solutions in the region, how to best approach the situation in the country.</w:t>
            </w:r>
          </w:p>
        </w:tc>
        <w:tc>
          <w:tcPr>
            <w:tcW w:w="2770" w:type="dxa"/>
          </w:tcPr>
          <w:p w14:paraId="10EEFC49" w14:textId="77777777" w:rsidR="007D1401" w:rsidRDefault="007D1401" w:rsidP="00D36B12">
            <w:pPr>
              <w:pStyle w:val="BodyText"/>
              <w:spacing w:before="11"/>
              <w:ind w:right="1051"/>
              <w:jc w:val="both"/>
            </w:pPr>
            <w:r>
              <w:t>September 2020</w:t>
            </w:r>
          </w:p>
        </w:tc>
      </w:tr>
      <w:tr w:rsidR="007D1401" w14:paraId="5C92E1CA" w14:textId="77777777" w:rsidTr="00D36B12">
        <w:tc>
          <w:tcPr>
            <w:tcW w:w="2136" w:type="dxa"/>
          </w:tcPr>
          <w:p w14:paraId="33E7A41B" w14:textId="77777777" w:rsidR="007D1401" w:rsidRDefault="007D1401" w:rsidP="00D36B12">
            <w:pPr>
              <w:pStyle w:val="BodyText"/>
              <w:spacing w:before="11"/>
              <w:ind w:right="1051"/>
              <w:jc w:val="both"/>
            </w:pPr>
            <w:r>
              <w:t>4,000</w:t>
            </w:r>
          </w:p>
        </w:tc>
        <w:tc>
          <w:tcPr>
            <w:tcW w:w="5099" w:type="dxa"/>
          </w:tcPr>
          <w:p w14:paraId="588F5E86" w14:textId="6594BA8C" w:rsidR="007D1401" w:rsidRPr="00D10CA4" w:rsidRDefault="009B1C96" w:rsidP="00D36B12">
            <w:pPr>
              <w:pStyle w:val="BodyText"/>
              <w:spacing w:before="11"/>
              <w:jc w:val="both"/>
            </w:pPr>
            <w:r w:rsidRPr="001229A9">
              <w:rPr>
                <w:b/>
              </w:rPr>
              <w:t>Deliverable 3</w:t>
            </w:r>
            <w:r>
              <w:t xml:space="preserve">: </w:t>
            </w:r>
            <w:r w:rsidR="007D1401" w:rsidRPr="00D10CA4">
              <w:t>Report that identifies what the needs and priorities of the community are, regarding climate change and gender.</w:t>
            </w:r>
          </w:p>
        </w:tc>
        <w:tc>
          <w:tcPr>
            <w:tcW w:w="2770" w:type="dxa"/>
          </w:tcPr>
          <w:p w14:paraId="0F2A15CC" w14:textId="77777777" w:rsidR="007D1401" w:rsidRDefault="007D1401" w:rsidP="00D36B12">
            <w:pPr>
              <w:pStyle w:val="BodyText"/>
              <w:spacing w:before="11"/>
              <w:ind w:right="1051"/>
              <w:jc w:val="both"/>
            </w:pPr>
            <w:r>
              <w:t>November 2020</w:t>
            </w:r>
          </w:p>
        </w:tc>
      </w:tr>
      <w:tr w:rsidR="007D1401" w14:paraId="5493118B" w14:textId="77777777" w:rsidTr="00D36B12">
        <w:tc>
          <w:tcPr>
            <w:tcW w:w="2136" w:type="dxa"/>
          </w:tcPr>
          <w:p w14:paraId="09ECE272" w14:textId="77777777" w:rsidR="007D1401" w:rsidRDefault="007D1401" w:rsidP="00D36B12">
            <w:pPr>
              <w:pStyle w:val="BodyText"/>
              <w:spacing w:before="11"/>
              <w:ind w:right="1051"/>
              <w:jc w:val="both"/>
            </w:pPr>
            <w:r>
              <w:t>2,000</w:t>
            </w:r>
          </w:p>
        </w:tc>
        <w:tc>
          <w:tcPr>
            <w:tcW w:w="5099" w:type="dxa"/>
          </w:tcPr>
          <w:p w14:paraId="5FB7DDA5" w14:textId="34D62D9A" w:rsidR="007D1401" w:rsidRPr="00D10CA4" w:rsidRDefault="009B1C96" w:rsidP="00D36B12">
            <w:pPr>
              <w:pStyle w:val="BodyText"/>
              <w:spacing w:before="11"/>
              <w:jc w:val="both"/>
            </w:pPr>
            <w:r w:rsidRPr="001229A9">
              <w:rPr>
                <w:b/>
              </w:rPr>
              <w:t>Deliverable 4</w:t>
            </w:r>
            <w:r>
              <w:t xml:space="preserve">: </w:t>
            </w:r>
            <w:r w:rsidR="007D1401" w:rsidRPr="00D10CA4">
              <w:t xml:space="preserve">Consultation plan that </w:t>
            </w:r>
            <w:proofErr w:type="gramStart"/>
            <w:r w:rsidR="007D1401" w:rsidRPr="00D10CA4">
              <w:t>showcases</w:t>
            </w:r>
            <w:proofErr w:type="gramEnd"/>
            <w:r w:rsidR="007D1401" w:rsidRPr="00D10CA4">
              <w:t xml:space="preserve"> the scope and purpose of the consultation with activities to carry out.</w:t>
            </w:r>
          </w:p>
        </w:tc>
        <w:tc>
          <w:tcPr>
            <w:tcW w:w="2770" w:type="dxa"/>
          </w:tcPr>
          <w:p w14:paraId="2BBEDF8E" w14:textId="77777777" w:rsidR="007D1401" w:rsidRDefault="007D1401" w:rsidP="00D36B12">
            <w:pPr>
              <w:pStyle w:val="BodyText"/>
              <w:spacing w:before="11"/>
              <w:ind w:right="1051"/>
              <w:jc w:val="both"/>
            </w:pPr>
            <w:r>
              <w:t>December 2020</w:t>
            </w:r>
          </w:p>
        </w:tc>
      </w:tr>
      <w:tr w:rsidR="007D1401" w14:paraId="55E8E5B3" w14:textId="77777777" w:rsidTr="00D36B12">
        <w:tc>
          <w:tcPr>
            <w:tcW w:w="2136" w:type="dxa"/>
          </w:tcPr>
          <w:p w14:paraId="2914DBDD" w14:textId="77777777" w:rsidR="007D1401" w:rsidRDefault="007D1401" w:rsidP="00D36B12">
            <w:pPr>
              <w:pStyle w:val="BodyText"/>
              <w:spacing w:before="11"/>
              <w:ind w:right="1051"/>
              <w:jc w:val="both"/>
            </w:pPr>
            <w:r>
              <w:t>4,000</w:t>
            </w:r>
          </w:p>
        </w:tc>
        <w:tc>
          <w:tcPr>
            <w:tcW w:w="5099" w:type="dxa"/>
          </w:tcPr>
          <w:p w14:paraId="20436303" w14:textId="291282AA" w:rsidR="007D1401" w:rsidRPr="00D10CA4" w:rsidRDefault="009B1C96" w:rsidP="00D36B12">
            <w:pPr>
              <w:pStyle w:val="BodyText"/>
              <w:spacing w:before="11"/>
              <w:jc w:val="both"/>
            </w:pPr>
            <w:r w:rsidRPr="001229A9">
              <w:rPr>
                <w:b/>
              </w:rPr>
              <w:t>Deliverable 5</w:t>
            </w:r>
            <w:r>
              <w:t xml:space="preserve">: </w:t>
            </w:r>
            <w:r w:rsidR="007D1401" w:rsidRPr="00D10CA4">
              <w:t xml:space="preserve">Consultation report </w:t>
            </w:r>
            <w:proofErr w:type="gramStart"/>
            <w:r w:rsidR="007D1401" w:rsidRPr="00D10CA4">
              <w:t>should be delivered</w:t>
            </w:r>
            <w:proofErr w:type="gramEnd"/>
            <w:r w:rsidR="007D1401" w:rsidRPr="00D10CA4">
              <w:t xml:space="preserve"> for every consultation undertaken </w:t>
            </w:r>
            <w:r w:rsidR="007D1401" w:rsidRPr="00D10CA4">
              <w:rPr>
                <w:b/>
              </w:rPr>
              <w:t>and</w:t>
            </w:r>
            <w:r w:rsidR="007D1401" w:rsidRPr="00D10CA4">
              <w:t xml:space="preserve"> Proposal for a collective draft of NDC indicators, paying particular attention to the data that should be gender-sensitive.</w:t>
            </w:r>
          </w:p>
        </w:tc>
        <w:tc>
          <w:tcPr>
            <w:tcW w:w="2770" w:type="dxa"/>
          </w:tcPr>
          <w:p w14:paraId="543A26A2" w14:textId="77777777" w:rsidR="007D1401" w:rsidRDefault="007D1401" w:rsidP="00D36B12">
            <w:pPr>
              <w:pStyle w:val="BodyText"/>
              <w:spacing w:before="11"/>
              <w:ind w:right="1051"/>
              <w:jc w:val="both"/>
            </w:pPr>
            <w:r>
              <w:t>February 2021</w:t>
            </w:r>
          </w:p>
        </w:tc>
      </w:tr>
      <w:tr w:rsidR="007D1401" w14:paraId="26C36FED" w14:textId="77777777" w:rsidTr="00D36B12">
        <w:tc>
          <w:tcPr>
            <w:tcW w:w="2136" w:type="dxa"/>
          </w:tcPr>
          <w:p w14:paraId="62C0DD7D" w14:textId="77777777" w:rsidR="007D1401" w:rsidRDefault="007D1401" w:rsidP="00D36B12">
            <w:pPr>
              <w:pStyle w:val="BodyText"/>
              <w:spacing w:before="11"/>
              <w:ind w:right="1051"/>
              <w:jc w:val="both"/>
            </w:pPr>
            <w:r>
              <w:t>2,000</w:t>
            </w:r>
          </w:p>
        </w:tc>
        <w:tc>
          <w:tcPr>
            <w:tcW w:w="5099" w:type="dxa"/>
          </w:tcPr>
          <w:p w14:paraId="1BFDFFF8" w14:textId="7D3397CD" w:rsidR="007D1401" w:rsidRPr="00D10CA4" w:rsidRDefault="009B1C96" w:rsidP="00D36B12">
            <w:pPr>
              <w:pStyle w:val="BodyText"/>
              <w:spacing w:before="11"/>
              <w:jc w:val="both"/>
            </w:pPr>
            <w:r w:rsidRPr="001229A9">
              <w:rPr>
                <w:b/>
              </w:rPr>
              <w:t>Deliverable 6</w:t>
            </w:r>
            <w:r>
              <w:t xml:space="preserve">: </w:t>
            </w:r>
            <w:r w:rsidR="007D1401" w:rsidRPr="00D10CA4">
              <w:t xml:space="preserve">Travel report that outlines the content and discussions of meetings attended related to the Gender Action Plan </w:t>
            </w:r>
            <w:r w:rsidR="007D1401" w:rsidRPr="00AD48B9">
              <w:rPr>
                <w:b/>
              </w:rPr>
              <w:t xml:space="preserve">and </w:t>
            </w:r>
            <w:r w:rsidR="007D1401" w:rsidRPr="00D10CA4">
              <w:t>Collaborative first draft of the report with NDC indicators.</w:t>
            </w:r>
          </w:p>
        </w:tc>
        <w:tc>
          <w:tcPr>
            <w:tcW w:w="2770" w:type="dxa"/>
          </w:tcPr>
          <w:p w14:paraId="7A5194B9" w14:textId="77777777" w:rsidR="007D1401" w:rsidRDefault="007D1401" w:rsidP="00D36B12">
            <w:pPr>
              <w:pStyle w:val="BodyText"/>
              <w:spacing w:before="11"/>
              <w:ind w:right="1051"/>
              <w:jc w:val="both"/>
            </w:pPr>
            <w:r>
              <w:t>March 2021</w:t>
            </w:r>
          </w:p>
        </w:tc>
      </w:tr>
      <w:tr w:rsidR="007D1401" w14:paraId="0137D235" w14:textId="77777777" w:rsidTr="00D36B12">
        <w:tc>
          <w:tcPr>
            <w:tcW w:w="2136" w:type="dxa"/>
          </w:tcPr>
          <w:p w14:paraId="32A98E2C" w14:textId="77777777" w:rsidR="007D1401" w:rsidRDefault="007D1401" w:rsidP="00D36B12">
            <w:pPr>
              <w:pStyle w:val="BodyText"/>
              <w:spacing w:before="11"/>
              <w:ind w:right="1051"/>
              <w:jc w:val="both"/>
            </w:pPr>
            <w:r>
              <w:t>2,000</w:t>
            </w:r>
          </w:p>
        </w:tc>
        <w:tc>
          <w:tcPr>
            <w:tcW w:w="5099" w:type="dxa"/>
          </w:tcPr>
          <w:p w14:paraId="2DBFF4DE" w14:textId="0ED1FFB8" w:rsidR="007D1401" w:rsidRPr="00D10CA4" w:rsidRDefault="009B1C96" w:rsidP="00D36B12">
            <w:pPr>
              <w:pStyle w:val="BodyText"/>
              <w:spacing w:before="11"/>
              <w:jc w:val="both"/>
            </w:pPr>
            <w:r w:rsidRPr="001229A9">
              <w:rPr>
                <w:b/>
              </w:rPr>
              <w:t>Deliverable 7</w:t>
            </w:r>
            <w:r>
              <w:t xml:space="preserve">: </w:t>
            </w:r>
            <w:r w:rsidR="007D1401">
              <w:t>F</w:t>
            </w:r>
            <w:r w:rsidR="007D1401" w:rsidRPr="00D10CA4">
              <w:t>irst draft of the Gender Action Plan with all the information collected from the consultations held until that point.</w:t>
            </w:r>
          </w:p>
        </w:tc>
        <w:tc>
          <w:tcPr>
            <w:tcW w:w="2770" w:type="dxa"/>
          </w:tcPr>
          <w:p w14:paraId="3821BC0B" w14:textId="77777777" w:rsidR="007D1401" w:rsidRDefault="007D1401" w:rsidP="00D36B12">
            <w:pPr>
              <w:pStyle w:val="BodyText"/>
              <w:spacing w:before="11"/>
              <w:ind w:right="1051"/>
              <w:jc w:val="both"/>
            </w:pPr>
            <w:r>
              <w:t>April 2021</w:t>
            </w:r>
          </w:p>
        </w:tc>
      </w:tr>
      <w:tr w:rsidR="007D1401" w14:paraId="3CC420FD" w14:textId="77777777" w:rsidTr="00D36B12">
        <w:tc>
          <w:tcPr>
            <w:tcW w:w="2136" w:type="dxa"/>
          </w:tcPr>
          <w:p w14:paraId="5587F76C" w14:textId="77777777" w:rsidR="007D1401" w:rsidRDefault="007D1401" w:rsidP="00D36B12">
            <w:pPr>
              <w:pStyle w:val="BodyText"/>
              <w:spacing w:before="11"/>
              <w:ind w:right="1051"/>
              <w:jc w:val="both"/>
            </w:pPr>
            <w:r>
              <w:t>2,000</w:t>
            </w:r>
          </w:p>
        </w:tc>
        <w:tc>
          <w:tcPr>
            <w:tcW w:w="5099" w:type="dxa"/>
          </w:tcPr>
          <w:p w14:paraId="5C2BBE9A" w14:textId="06AE1699" w:rsidR="007D1401" w:rsidRPr="00D10CA4" w:rsidRDefault="009B1C96" w:rsidP="00D36B12">
            <w:pPr>
              <w:pStyle w:val="BodyText"/>
              <w:spacing w:before="11"/>
              <w:jc w:val="both"/>
            </w:pPr>
            <w:r w:rsidRPr="001229A9">
              <w:rPr>
                <w:b/>
              </w:rPr>
              <w:t>Deliverable 8</w:t>
            </w:r>
            <w:r>
              <w:t xml:space="preserve">: </w:t>
            </w:r>
            <w:r w:rsidR="007D1401">
              <w:t>D</w:t>
            </w:r>
            <w:r w:rsidR="007D1401" w:rsidRPr="00D10CA4">
              <w:t>rafts of the outreach material (brochures, fact sheets) that will be available in accessible formats and provided in alternative language(s) as appropriate.</w:t>
            </w:r>
          </w:p>
        </w:tc>
        <w:tc>
          <w:tcPr>
            <w:tcW w:w="2770" w:type="dxa"/>
          </w:tcPr>
          <w:p w14:paraId="153C137B" w14:textId="77777777" w:rsidR="007D1401" w:rsidRDefault="007D1401" w:rsidP="00D36B12">
            <w:pPr>
              <w:pStyle w:val="BodyText"/>
              <w:spacing w:before="11"/>
              <w:ind w:right="1051"/>
              <w:jc w:val="both"/>
            </w:pPr>
            <w:r>
              <w:t>May 2021</w:t>
            </w:r>
          </w:p>
        </w:tc>
      </w:tr>
      <w:tr w:rsidR="007D1401" w14:paraId="697ACF82" w14:textId="77777777" w:rsidTr="00D36B12">
        <w:tc>
          <w:tcPr>
            <w:tcW w:w="2136" w:type="dxa"/>
          </w:tcPr>
          <w:p w14:paraId="4B325271" w14:textId="77777777" w:rsidR="007D1401" w:rsidRDefault="007D1401" w:rsidP="00D36B12">
            <w:pPr>
              <w:pStyle w:val="BodyText"/>
              <w:spacing w:before="11"/>
              <w:ind w:right="1051"/>
              <w:jc w:val="both"/>
            </w:pPr>
            <w:r>
              <w:t>2,000</w:t>
            </w:r>
          </w:p>
        </w:tc>
        <w:tc>
          <w:tcPr>
            <w:tcW w:w="5099" w:type="dxa"/>
          </w:tcPr>
          <w:p w14:paraId="64918C4B" w14:textId="300D1091" w:rsidR="007D1401" w:rsidRPr="00D10CA4" w:rsidRDefault="009B1C96" w:rsidP="00D36B12">
            <w:pPr>
              <w:pStyle w:val="BodyText"/>
              <w:spacing w:before="11"/>
              <w:jc w:val="both"/>
            </w:pPr>
            <w:r w:rsidRPr="001229A9">
              <w:rPr>
                <w:b/>
              </w:rPr>
              <w:t>Deliverable 9</w:t>
            </w:r>
            <w:r>
              <w:t xml:space="preserve">: </w:t>
            </w:r>
            <w:r w:rsidR="007D1401" w:rsidRPr="00D10CA4">
              <w:t xml:space="preserve">Report on the best practices for gender mainstreaming in the region and beyond with an analysis of how they can be implemented in A&amp;B, </w:t>
            </w:r>
            <w:r w:rsidR="007D1401" w:rsidRPr="00AD48B9">
              <w:rPr>
                <w:b/>
              </w:rPr>
              <w:t>and</w:t>
            </w:r>
            <w:r w:rsidR="007D1401" w:rsidRPr="00D10CA4">
              <w:t xml:space="preserve"> revised report of the NDC indicators.</w:t>
            </w:r>
          </w:p>
        </w:tc>
        <w:tc>
          <w:tcPr>
            <w:tcW w:w="2770" w:type="dxa"/>
          </w:tcPr>
          <w:p w14:paraId="3EC011E2" w14:textId="77777777" w:rsidR="007D1401" w:rsidRDefault="007D1401" w:rsidP="00D36B12">
            <w:pPr>
              <w:pStyle w:val="BodyText"/>
              <w:spacing w:before="11"/>
              <w:ind w:right="1051"/>
              <w:jc w:val="both"/>
            </w:pPr>
            <w:r>
              <w:t>June 2021</w:t>
            </w:r>
          </w:p>
        </w:tc>
      </w:tr>
      <w:tr w:rsidR="007D1401" w14:paraId="76B592EA" w14:textId="77777777" w:rsidTr="00D36B12">
        <w:tc>
          <w:tcPr>
            <w:tcW w:w="2136" w:type="dxa"/>
          </w:tcPr>
          <w:p w14:paraId="2777A836" w14:textId="77777777" w:rsidR="007D1401" w:rsidRDefault="007D1401" w:rsidP="00D36B12">
            <w:pPr>
              <w:pStyle w:val="BodyText"/>
              <w:spacing w:before="11"/>
              <w:ind w:right="1051"/>
              <w:jc w:val="both"/>
            </w:pPr>
            <w:r>
              <w:t>2,000</w:t>
            </w:r>
          </w:p>
        </w:tc>
        <w:tc>
          <w:tcPr>
            <w:tcW w:w="5099" w:type="dxa"/>
          </w:tcPr>
          <w:p w14:paraId="347CEE5E" w14:textId="004157EE" w:rsidR="007D1401" w:rsidRPr="00D10CA4" w:rsidRDefault="009B1C96" w:rsidP="00D36B12">
            <w:pPr>
              <w:pStyle w:val="BodyText"/>
              <w:spacing w:before="11"/>
              <w:jc w:val="both"/>
            </w:pPr>
            <w:r w:rsidRPr="001229A9">
              <w:rPr>
                <w:b/>
              </w:rPr>
              <w:t>Deliverable 10</w:t>
            </w:r>
            <w:r>
              <w:t xml:space="preserve">: </w:t>
            </w:r>
            <w:r w:rsidR="007D1401" w:rsidRPr="00D10CA4">
              <w:t xml:space="preserve">Report on </w:t>
            </w:r>
            <w:proofErr w:type="spellStart"/>
            <w:r w:rsidR="007D1401" w:rsidRPr="00D10CA4">
              <w:t>institutionalisation</w:t>
            </w:r>
            <w:proofErr w:type="spellEnd"/>
            <w:r w:rsidR="007D1401" w:rsidRPr="00D10CA4">
              <w:t xml:space="preserve"> of gender equality in the region and beyond with an analysis of how they can be implemented in A&amp;B.</w:t>
            </w:r>
          </w:p>
        </w:tc>
        <w:tc>
          <w:tcPr>
            <w:tcW w:w="2770" w:type="dxa"/>
          </w:tcPr>
          <w:p w14:paraId="37D16251" w14:textId="77777777" w:rsidR="007D1401" w:rsidRDefault="007D1401" w:rsidP="00D36B12">
            <w:pPr>
              <w:pStyle w:val="BodyText"/>
              <w:spacing w:before="11"/>
              <w:ind w:right="1051"/>
              <w:jc w:val="both"/>
            </w:pPr>
            <w:r>
              <w:t>July 2021</w:t>
            </w:r>
          </w:p>
        </w:tc>
      </w:tr>
      <w:tr w:rsidR="007D1401" w14:paraId="04805DD1" w14:textId="77777777" w:rsidTr="00D36B12">
        <w:tc>
          <w:tcPr>
            <w:tcW w:w="2136" w:type="dxa"/>
          </w:tcPr>
          <w:p w14:paraId="2ED224E1" w14:textId="77777777" w:rsidR="007D1401" w:rsidRDefault="007D1401" w:rsidP="00D36B12">
            <w:pPr>
              <w:pStyle w:val="BodyText"/>
              <w:spacing w:before="11"/>
              <w:ind w:right="1051"/>
              <w:jc w:val="both"/>
            </w:pPr>
            <w:r>
              <w:t>2,000</w:t>
            </w:r>
          </w:p>
        </w:tc>
        <w:tc>
          <w:tcPr>
            <w:tcW w:w="5099" w:type="dxa"/>
          </w:tcPr>
          <w:p w14:paraId="4EDD879B" w14:textId="65D7035A" w:rsidR="007D1401" w:rsidRPr="00D10CA4" w:rsidRDefault="009B1C96" w:rsidP="00D36B12">
            <w:pPr>
              <w:pStyle w:val="BodyText"/>
              <w:spacing w:before="11"/>
              <w:jc w:val="both"/>
            </w:pPr>
            <w:r w:rsidRPr="001229A9">
              <w:rPr>
                <w:b/>
              </w:rPr>
              <w:t>Deliverable 11</w:t>
            </w:r>
            <w:r>
              <w:t xml:space="preserve">: </w:t>
            </w:r>
            <w:r w:rsidR="007D1401">
              <w:t xml:space="preserve">Final draft of </w:t>
            </w:r>
            <w:r w:rsidR="007D1401" w:rsidRPr="00D10CA4">
              <w:t>Gender Action Plan that fits the gender-climate intersection of Antigua &amp; Barbuda.</w:t>
            </w:r>
          </w:p>
        </w:tc>
        <w:tc>
          <w:tcPr>
            <w:tcW w:w="2770" w:type="dxa"/>
          </w:tcPr>
          <w:p w14:paraId="23A8242B" w14:textId="77777777" w:rsidR="007D1401" w:rsidRDefault="007D1401" w:rsidP="00D36B12">
            <w:pPr>
              <w:pStyle w:val="BodyText"/>
              <w:spacing w:before="11"/>
              <w:ind w:right="1051"/>
              <w:jc w:val="both"/>
            </w:pPr>
            <w:r>
              <w:t>August 2021</w:t>
            </w:r>
          </w:p>
        </w:tc>
      </w:tr>
      <w:tr w:rsidR="007D1401" w14:paraId="1B7835EB" w14:textId="77777777" w:rsidTr="00D36B12">
        <w:tc>
          <w:tcPr>
            <w:tcW w:w="2136" w:type="dxa"/>
          </w:tcPr>
          <w:p w14:paraId="4B9BC662" w14:textId="77777777" w:rsidR="007D1401" w:rsidRDefault="007D1401" w:rsidP="00D36B12">
            <w:pPr>
              <w:pStyle w:val="BodyText"/>
              <w:spacing w:before="11"/>
              <w:ind w:right="1051"/>
              <w:jc w:val="both"/>
            </w:pPr>
            <w:r>
              <w:t>2,000</w:t>
            </w:r>
          </w:p>
        </w:tc>
        <w:tc>
          <w:tcPr>
            <w:tcW w:w="5099" w:type="dxa"/>
          </w:tcPr>
          <w:p w14:paraId="321684EE" w14:textId="04A86EE3" w:rsidR="007D1401" w:rsidRDefault="009B1C96" w:rsidP="00D36B12">
            <w:r w:rsidRPr="001229A9">
              <w:rPr>
                <w:b/>
              </w:rPr>
              <w:t>Deliverable 12</w:t>
            </w:r>
            <w:r>
              <w:t xml:space="preserve">: </w:t>
            </w:r>
            <w:r w:rsidR="007D1401" w:rsidRPr="00D10CA4">
              <w:t>Outreach material that will serve to teach and expand the reach of the Gender Action Plan.</w:t>
            </w:r>
          </w:p>
        </w:tc>
        <w:tc>
          <w:tcPr>
            <w:tcW w:w="2770" w:type="dxa"/>
          </w:tcPr>
          <w:p w14:paraId="24F66472" w14:textId="77777777" w:rsidR="007D1401" w:rsidRDefault="007D1401" w:rsidP="00D36B12">
            <w:pPr>
              <w:pStyle w:val="BodyText"/>
              <w:spacing w:before="11"/>
              <w:ind w:right="1051"/>
              <w:jc w:val="both"/>
            </w:pPr>
            <w:r>
              <w:t>September 2021</w:t>
            </w:r>
          </w:p>
        </w:tc>
      </w:tr>
    </w:tbl>
    <w:p w14:paraId="6DB93D4D" w14:textId="77777777" w:rsidR="007D1401" w:rsidRDefault="007D1401" w:rsidP="007D1401">
      <w:pPr>
        <w:pStyle w:val="BodyText"/>
        <w:spacing w:before="11"/>
        <w:ind w:right="1051"/>
        <w:jc w:val="both"/>
      </w:pPr>
    </w:p>
    <w:p w14:paraId="7671B75E" w14:textId="77777777" w:rsidR="007D1401" w:rsidRDefault="007D1401" w:rsidP="007D1401">
      <w:pPr>
        <w:pStyle w:val="BodyText"/>
        <w:spacing w:before="11"/>
        <w:ind w:left="1135" w:right="1051"/>
        <w:jc w:val="both"/>
      </w:pPr>
    </w:p>
    <w:p w14:paraId="03948FDB" w14:textId="77777777" w:rsidR="00C01A9D" w:rsidRPr="007D1401" w:rsidRDefault="007D1401" w:rsidP="007D1401">
      <w:pPr>
        <w:pStyle w:val="BodyText"/>
        <w:spacing w:before="11"/>
        <w:ind w:left="415" w:right="1051"/>
        <w:jc w:val="both"/>
      </w:pPr>
      <w:r>
        <w:t>There is also USD 2,500 available for a country mission (UNEP DTU Partnerships travel rules apply, and journey is to be arranged through its system), and 3,000 USD in reimbursable expenses for outreach material.</w:t>
      </w:r>
      <w:bookmarkStart w:id="5" w:name="10._Application_deadline"/>
      <w:bookmarkEnd w:id="5"/>
    </w:p>
    <w:sectPr w:rsidR="00C01A9D" w:rsidRPr="007D1401">
      <w:pgSz w:w="11930" w:h="16860"/>
      <w:pgMar w:top="760" w:right="4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1D7"/>
    <w:multiLevelType w:val="hybridMultilevel"/>
    <w:tmpl w:val="33EC52B2"/>
    <w:lvl w:ilvl="0" w:tplc="FDC89828">
      <w:numFmt w:val="bullet"/>
      <w:lvlText w:val="-"/>
      <w:lvlJc w:val="left"/>
      <w:pPr>
        <w:ind w:left="778" w:hanging="360"/>
      </w:pPr>
      <w:rPr>
        <w:rFonts w:ascii="Arial" w:eastAsia="Arial" w:hAnsi="Arial" w:cs="Arial" w:hint="default"/>
        <w:w w:val="100"/>
        <w:sz w:val="22"/>
        <w:szCs w:val="22"/>
      </w:rPr>
    </w:lvl>
    <w:lvl w:ilvl="1" w:tplc="E1D8D74E">
      <w:numFmt w:val="bullet"/>
      <w:lvlText w:val="•"/>
      <w:lvlJc w:val="left"/>
      <w:pPr>
        <w:ind w:left="1744" w:hanging="360"/>
      </w:pPr>
      <w:rPr>
        <w:rFonts w:hint="default"/>
      </w:rPr>
    </w:lvl>
    <w:lvl w:ilvl="2" w:tplc="7440433A">
      <w:numFmt w:val="bullet"/>
      <w:lvlText w:val="•"/>
      <w:lvlJc w:val="left"/>
      <w:pPr>
        <w:ind w:left="2708" w:hanging="360"/>
      </w:pPr>
      <w:rPr>
        <w:rFonts w:hint="default"/>
      </w:rPr>
    </w:lvl>
    <w:lvl w:ilvl="3" w:tplc="54BC2D50">
      <w:numFmt w:val="bullet"/>
      <w:lvlText w:val="•"/>
      <w:lvlJc w:val="left"/>
      <w:pPr>
        <w:ind w:left="3672" w:hanging="360"/>
      </w:pPr>
      <w:rPr>
        <w:rFonts w:hint="default"/>
      </w:rPr>
    </w:lvl>
    <w:lvl w:ilvl="4" w:tplc="9CE47692">
      <w:numFmt w:val="bullet"/>
      <w:lvlText w:val="•"/>
      <w:lvlJc w:val="left"/>
      <w:pPr>
        <w:ind w:left="4636" w:hanging="360"/>
      </w:pPr>
      <w:rPr>
        <w:rFonts w:hint="default"/>
      </w:rPr>
    </w:lvl>
    <w:lvl w:ilvl="5" w:tplc="1BEA42C0">
      <w:numFmt w:val="bullet"/>
      <w:lvlText w:val="•"/>
      <w:lvlJc w:val="left"/>
      <w:pPr>
        <w:ind w:left="5600" w:hanging="360"/>
      </w:pPr>
      <w:rPr>
        <w:rFonts w:hint="default"/>
      </w:rPr>
    </w:lvl>
    <w:lvl w:ilvl="6" w:tplc="38821E82">
      <w:numFmt w:val="bullet"/>
      <w:lvlText w:val="•"/>
      <w:lvlJc w:val="left"/>
      <w:pPr>
        <w:ind w:left="6564" w:hanging="360"/>
      </w:pPr>
      <w:rPr>
        <w:rFonts w:hint="default"/>
      </w:rPr>
    </w:lvl>
    <w:lvl w:ilvl="7" w:tplc="E95AE548">
      <w:numFmt w:val="bullet"/>
      <w:lvlText w:val="•"/>
      <w:lvlJc w:val="left"/>
      <w:pPr>
        <w:ind w:left="7528" w:hanging="360"/>
      </w:pPr>
      <w:rPr>
        <w:rFonts w:hint="default"/>
      </w:rPr>
    </w:lvl>
    <w:lvl w:ilvl="8" w:tplc="8420406E">
      <w:numFmt w:val="bullet"/>
      <w:lvlText w:val="•"/>
      <w:lvlJc w:val="left"/>
      <w:pPr>
        <w:ind w:left="8492" w:hanging="360"/>
      </w:pPr>
      <w:rPr>
        <w:rFonts w:hint="default"/>
      </w:rPr>
    </w:lvl>
  </w:abstractNum>
  <w:abstractNum w:abstractNumId="1" w15:restartNumberingAfterBreak="0">
    <w:nsid w:val="17BB0621"/>
    <w:multiLevelType w:val="hybridMultilevel"/>
    <w:tmpl w:val="84367270"/>
    <w:lvl w:ilvl="0" w:tplc="943C3778">
      <w:numFmt w:val="bullet"/>
      <w:lvlText w:val="•"/>
      <w:lvlJc w:val="left"/>
      <w:pPr>
        <w:ind w:left="1534" w:hanging="361"/>
      </w:pPr>
      <w:rPr>
        <w:rFonts w:ascii="Arial" w:eastAsia="Arial" w:hAnsi="Arial" w:cs="Arial" w:hint="default"/>
        <w:w w:val="100"/>
        <w:sz w:val="22"/>
        <w:szCs w:val="22"/>
      </w:rPr>
    </w:lvl>
    <w:lvl w:ilvl="1" w:tplc="7D14CEBE">
      <w:numFmt w:val="bullet"/>
      <w:lvlText w:val="•"/>
      <w:lvlJc w:val="left"/>
      <w:pPr>
        <w:ind w:left="2428" w:hanging="361"/>
      </w:pPr>
      <w:rPr>
        <w:rFonts w:hint="default"/>
      </w:rPr>
    </w:lvl>
    <w:lvl w:ilvl="2" w:tplc="0276BFFA">
      <w:numFmt w:val="bullet"/>
      <w:lvlText w:val="•"/>
      <w:lvlJc w:val="left"/>
      <w:pPr>
        <w:ind w:left="3316" w:hanging="361"/>
      </w:pPr>
      <w:rPr>
        <w:rFonts w:hint="default"/>
      </w:rPr>
    </w:lvl>
    <w:lvl w:ilvl="3" w:tplc="77AC6D30">
      <w:numFmt w:val="bullet"/>
      <w:lvlText w:val="•"/>
      <w:lvlJc w:val="left"/>
      <w:pPr>
        <w:ind w:left="4204" w:hanging="361"/>
      </w:pPr>
      <w:rPr>
        <w:rFonts w:hint="default"/>
      </w:rPr>
    </w:lvl>
    <w:lvl w:ilvl="4" w:tplc="2F4270D0">
      <w:numFmt w:val="bullet"/>
      <w:lvlText w:val="•"/>
      <w:lvlJc w:val="left"/>
      <w:pPr>
        <w:ind w:left="5092" w:hanging="361"/>
      </w:pPr>
      <w:rPr>
        <w:rFonts w:hint="default"/>
      </w:rPr>
    </w:lvl>
    <w:lvl w:ilvl="5" w:tplc="68E4940A">
      <w:numFmt w:val="bullet"/>
      <w:lvlText w:val="•"/>
      <w:lvlJc w:val="left"/>
      <w:pPr>
        <w:ind w:left="5980" w:hanging="361"/>
      </w:pPr>
      <w:rPr>
        <w:rFonts w:hint="default"/>
      </w:rPr>
    </w:lvl>
    <w:lvl w:ilvl="6" w:tplc="B0A2AEB2">
      <w:numFmt w:val="bullet"/>
      <w:lvlText w:val="•"/>
      <w:lvlJc w:val="left"/>
      <w:pPr>
        <w:ind w:left="6868" w:hanging="361"/>
      </w:pPr>
      <w:rPr>
        <w:rFonts w:hint="default"/>
      </w:rPr>
    </w:lvl>
    <w:lvl w:ilvl="7" w:tplc="90CEC7A8">
      <w:numFmt w:val="bullet"/>
      <w:lvlText w:val="•"/>
      <w:lvlJc w:val="left"/>
      <w:pPr>
        <w:ind w:left="7756" w:hanging="361"/>
      </w:pPr>
      <w:rPr>
        <w:rFonts w:hint="default"/>
      </w:rPr>
    </w:lvl>
    <w:lvl w:ilvl="8" w:tplc="0C0A20F8">
      <w:numFmt w:val="bullet"/>
      <w:lvlText w:val="•"/>
      <w:lvlJc w:val="left"/>
      <w:pPr>
        <w:ind w:left="8644" w:hanging="361"/>
      </w:pPr>
      <w:rPr>
        <w:rFonts w:hint="default"/>
      </w:rPr>
    </w:lvl>
  </w:abstractNum>
  <w:abstractNum w:abstractNumId="2" w15:restartNumberingAfterBreak="0">
    <w:nsid w:val="4CA35F97"/>
    <w:multiLevelType w:val="hybridMultilevel"/>
    <w:tmpl w:val="E11C9D30"/>
    <w:lvl w:ilvl="0" w:tplc="E4BEE882">
      <w:start w:val="1"/>
      <w:numFmt w:val="lowerLetter"/>
      <w:lvlText w:val="%1)"/>
      <w:lvlJc w:val="left"/>
      <w:pPr>
        <w:ind w:left="1181" w:hanging="360"/>
      </w:pPr>
      <w:rPr>
        <w:rFonts w:ascii="Arial" w:eastAsia="Arial" w:hAnsi="Arial" w:cs="Arial" w:hint="default"/>
        <w:spacing w:val="-1"/>
        <w:w w:val="100"/>
        <w:sz w:val="22"/>
        <w:szCs w:val="22"/>
      </w:rPr>
    </w:lvl>
    <w:lvl w:ilvl="1" w:tplc="763426EA">
      <w:numFmt w:val="bullet"/>
      <w:lvlText w:val="•"/>
      <w:lvlJc w:val="left"/>
      <w:pPr>
        <w:ind w:left="2104" w:hanging="360"/>
      </w:pPr>
      <w:rPr>
        <w:rFonts w:hint="default"/>
      </w:rPr>
    </w:lvl>
    <w:lvl w:ilvl="2" w:tplc="2362D872">
      <w:numFmt w:val="bullet"/>
      <w:lvlText w:val="•"/>
      <w:lvlJc w:val="left"/>
      <w:pPr>
        <w:ind w:left="3028" w:hanging="360"/>
      </w:pPr>
      <w:rPr>
        <w:rFonts w:hint="default"/>
      </w:rPr>
    </w:lvl>
    <w:lvl w:ilvl="3" w:tplc="369ED4EA">
      <w:numFmt w:val="bullet"/>
      <w:lvlText w:val="•"/>
      <w:lvlJc w:val="left"/>
      <w:pPr>
        <w:ind w:left="3952" w:hanging="360"/>
      </w:pPr>
      <w:rPr>
        <w:rFonts w:hint="default"/>
      </w:rPr>
    </w:lvl>
    <w:lvl w:ilvl="4" w:tplc="998ABE02">
      <w:numFmt w:val="bullet"/>
      <w:lvlText w:val="•"/>
      <w:lvlJc w:val="left"/>
      <w:pPr>
        <w:ind w:left="4876" w:hanging="360"/>
      </w:pPr>
      <w:rPr>
        <w:rFonts w:hint="default"/>
      </w:rPr>
    </w:lvl>
    <w:lvl w:ilvl="5" w:tplc="CFB02F3A">
      <w:numFmt w:val="bullet"/>
      <w:lvlText w:val="•"/>
      <w:lvlJc w:val="left"/>
      <w:pPr>
        <w:ind w:left="5800" w:hanging="360"/>
      </w:pPr>
      <w:rPr>
        <w:rFonts w:hint="default"/>
      </w:rPr>
    </w:lvl>
    <w:lvl w:ilvl="6" w:tplc="19BE07EE">
      <w:numFmt w:val="bullet"/>
      <w:lvlText w:val="•"/>
      <w:lvlJc w:val="left"/>
      <w:pPr>
        <w:ind w:left="6724" w:hanging="360"/>
      </w:pPr>
      <w:rPr>
        <w:rFonts w:hint="default"/>
      </w:rPr>
    </w:lvl>
    <w:lvl w:ilvl="7" w:tplc="B5A02D54">
      <w:numFmt w:val="bullet"/>
      <w:lvlText w:val="•"/>
      <w:lvlJc w:val="left"/>
      <w:pPr>
        <w:ind w:left="7648" w:hanging="360"/>
      </w:pPr>
      <w:rPr>
        <w:rFonts w:hint="default"/>
      </w:rPr>
    </w:lvl>
    <w:lvl w:ilvl="8" w:tplc="34FAC57E">
      <w:numFmt w:val="bullet"/>
      <w:lvlText w:val="•"/>
      <w:lvlJc w:val="left"/>
      <w:pPr>
        <w:ind w:left="8572" w:hanging="360"/>
      </w:pPr>
      <w:rPr>
        <w:rFonts w:hint="default"/>
      </w:rPr>
    </w:lvl>
  </w:abstractNum>
  <w:abstractNum w:abstractNumId="3" w15:restartNumberingAfterBreak="0">
    <w:nsid w:val="5134008F"/>
    <w:multiLevelType w:val="hybridMultilevel"/>
    <w:tmpl w:val="54DE3352"/>
    <w:lvl w:ilvl="0" w:tplc="547810FE">
      <w:start w:val="2"/>
      <w:numFmt w:val="decimal"/>
      <w:lvlText w:val="%1."/>
      <w:lvlJc w:val="left"/>
      <w:pPr>
        <w:ind w:left="451" w:hanging="224"/>
      </w:pPr>
      <w:rPr>
        <w:rFonts w:ascii="Trebuchet MS" w:eastAsia="Trebuchet MS" w:hAnsi="Trebuchet MS" w:cs="Trebuchet MS" w:hint="default"/>
        <w:b/>
        <w:bCs/>
        <w:spacing w:val="-2"/>
        <w:w w:val="80"/>
        <w:sz w:val="22"/>
        <w:szCs w:val="22"/>
      </w:rPr>
    </w:lvl>
    <w:lvl w:ilvl="1" w:tplc="5896CB76">
      <w:numFmt w:val="bullet"/>
      <w:lvlText w:val="-"/>
      <w:lvlJc w:val="left"/>
      <w:pPr>
        <w:ind w:left="1182" w:hanging="721"/>
      </w:pPr>
      <w:rPr>
        <w:rFonts w:ascii="Arial" w:eastAsia="Arial" w:hAnsi="Arial" w:cs="Arial" w:hint="default"/>
        <w:w w:val="100"/>
        <w:sz w:val="22"/>
        <w:szCs w:val="22"/>
      </w:rPr>
    </w:lvl>
    <w:lvl w:ilvl="2" w:tplc="26D08530">
      <w:numFmt w:val="bullet"/>
      <w:lvlText w:val="•"/>
      <w:lvlJc w:val="left"/>
      <w:pPr>
        <w:ind w:left="2206" w:hanging="721"/>
      </w:pPr>
      <w:rPr>
        <w:rFonts w:hint="default"/>
      </w:rPr>
    </w:lvl>
    <w:lvl w:ilvl="3" w:tplc="EAF08FD2">
      <w:numFmt w:val="bullet"/>
      <w:lvlText w:val="•"/>
      <w:lvlJc w:val="left"/>
      <w:pPr>
        <w:ind w:left="3233" w:hanging="721"/>
      </w:pPr>
      <w:rPr>
        <w:rFonts w:hint="default"/>
      </w:rPr>
    </w:lvl>
    <w:lvl w:ilvl="4" w:tplc="E800FAE0">
      <w:numFmt w:val="bullet"/>
      <w:lvlText w:val="•"/>
      <w:lvlJc w:val="left"/>
      <w:pPr>
        <w:ind w:left="4260" w:hanging="721"/>
      </w:pPr>
      <w:rPr>
        <w:rFonts w:hint="default"/>
      </w:rPr>
    </w:lvl>
    <w:lvl w:ilvl="5" w:tplc="2084DDA2">
      <w:numFmt w:val="bullet"/>
      <w:lvlText w:val="•"/>
      <w:lvlJc w:val="left"/>
      <w:pPr>
        <w:ind w:left="5287" w:hanging="721"/>
      </w:pPr>
      <w:rPr>
        <w:rFonts w:hint="default"/>
      </w:rPr>
    </w:lvl>
    <w:lvl w:ilvl="6" w:tplc="40FEA884">
      <w:numFmt w:val="bullet"/>
      <w:lvlText w:val="•"/>
      <w:lvlJc w:val="left"/>
      <w:pPr>
        <w:ind w:left="6313" w:hanging="721"/>
      </w:pPr>
      <w:rPr>
        <w:rFonts w:hint="default"/>
      </w:rPr>
    </w:lvl>
    <w:lvl w:ilvl="7" w:tplc="7AA0C692">
      <w:numFmt w:val="bullet"/>
      <w:lvlText w:val="•"/>
      <w:lvlJc w:val="left"/>
      <w:pPr>
        <w:ind w:left="7340" w:hanging="721"/>
      </w:pPr>
      <w:rPr>
        <w:rFonts w:hint="default"/>
      </w:rPr>
    </w:lvl>
    <w:lvl w:ilvl="8" w:tplc="81BEDCE2">
      <w:numFmt w:val="bullet"/>
      <w:lvlText w:val="•"/>
      <w:lvlJc w:val="left"/>
      <w:pPr>
        <w:ind w:left="8367" w:hanging="721"/>
      </w:pPr>
      <w:rPr>
        <w:rFonts w:hint="default"/>
      </w:rPr>
    </w:lvl>
  </w:abstractNum>
  <w:abstractNum w:abstractNumId="4" w15:restartNumberingAfterBreak="0">
    <w:nsid w:val="53441662"/>
    <w:multiLevelType w:val="hybridMultilevel"/>
    <w:tmpl w:val="BF88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C531A"/>
    <w:multiLevelType w:val="hybridMultilevel"/>
    <w:tmpl w:val="8BDE3FBC"/>
    <w:lvl w:ilvl="0" w:tplc="016A8C08">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01"/>
    <w:rsid w:val="001229A9"/>
    <w:rsid w:val="0026227A"/>
    <w:rsid w:val="007D1401"/>
    <w:rsid w:val="009B1C96"/>
    <w:rsid w:val="00AA57F9"/>
    <w:rsid w:val="00C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D508"/>
  <w15:chartTrackingRefBased/>
  <w15:docId w15:val="{FE367C42-0C1F-457B-ABF7-89AB94E3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140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7D1401"/>
    <w:pPr>
      <w:ind w:left="451" w:hanging="249"/>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1401"/>
    <w:rPr>
      <w:rFonts w:ascii="Trebuchet MS" w:eastAsia="Trebuchet MS" w:hAnsi="Trebuchet MS" w:cs="Trebuchet MS"/>
      <w:b/>
      <w:bCs/>
      <w:lang w:val="en-US"/>
    </w:rPr>
  </w:style>
  <w:style w:type="paragraph" w:styleId="BodyText">
    <w:name w:val="Body Text"/>
    <w:basedOn w:val="Normal"/>
    <w:link w:val="BodyTextChar"/>
    <w:uiPriority w:val="1"/>
    <w:qFormat/>
    <w:rsid w:val="007D1401"/>
  </w:style>
  <w:style w:type="character" w:customStyle="1" w:styleId="BodyTextChar">
    <w:name w:val="Body Text Char"/>
    <w:basedOn w:val="DefaultParagraphFont"/>
    <w:link w:val="BodyText"/>
    <w:uiPriority w:val="1"/>
    <w:rsid w:val="007D1401"/>
    <w:rPr>
      <w:rFonts w:ascii="Arial" w:eastAsia="Arial" w:hAnsi="Arial" w:cs="Arial"/>
      <w:lang w:val="en-US"/>
    </w:rPr>
  </w:style>
  <w:style w:type="paragraph" w:styleId="ListParagraph">
    <w:name w:val="List Paragraph"/>
    <w:basedOn w:val="Normal"/>
    <w:uiPriority w:val="1"/>
    <w:qFormat/>
    <w:rsid w:val="007D1401"/>
    <w:pPr>
      <w:ind w:left="1181" w:hanging="360"/>
    </w:pPr>
  </w:style>
  <w:style w:type="character" w:styleId="Hyperlink">
    <w:name w:val="Hyperlink"/>
    <w:basedOn w:val="DefaultParagraphFont"/>
    <w:uiPriority w:val="99"/>
    <w:unhideWhenUsed/>
    <w:rsid w:val="007D1401"/>
    <w:rPr>
      <w:color w:val="0563C1" w:themeColor="hyperlink"/>
      <w:u w:val="single"/>
    </w:rPr>
  </w:style>
  <w:style w:type="character" w:styleId="CommentReference">
    <w:name w:val="annotation reference"/>
    <w:basedOn w:val="DefaultParagraphFont"/>
    <w:uiPriority w:val="99"/>
    <w:semiHidden/>
    <w:unhideWhenUsed/>
    <w:rsid w:val="007D1401"/>
    <w:rPr>
      <w:sz w:val="16"/>
      <w:szCs w:val="16"/>
    </w:rPr>
  </w:style>
  <w:style w:type="paragraph" w:styleId="CommentText">
    <w:name w:val="annotation text"/>
    <w:basedOn w:val="Normal"/>
    <w:link w:val="CommentTextChar"/>
    <w:uiPriority w:val="99"/>
    <w:semiHidden/>
    <w:unhideWhenUsed/>
    <w:rsid w:val="007D1401"/>
    <w:rPr>
      <w:sz w:val="20"/>
      <w:szCs w:val="20"/>
    </w:rPr>
  </w:style>
  <w:style w:type="character" w:customStyle="1" w:styleId="CommentTextChar">
    <w:name w:val="Comment Text Char"/>
    <w:basedOn w:val="DefaultParagraphFont"/>
    <w:link w:val="CommentText"/>
    <w:uiPriority w:val="99"/>
    <w:semiHidden/>
    <w:rsid w:val="007D1401"/>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7D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01"/>
    <w:rPr>
      <w:rFonts w:ascii="Segoe UI" w:eastAsia="Arial" w:hAnsi="Segoe UI" w:cs="Segoe UI"/>
      <w:sz w:val="18"/>
      <w:szCs w:val="18"/>
      <w:lang w:val="en-US"/>
    </w:rPr>
  </w:style>
  <w:style w:type="table" w:styleId="TableGrid">
    <w:name w:val="Table Grid"/>
    <w:basedOn w:val="TableNormal"/>
    <w:uiPriority w:val="59"/>
    <w:rsid w:val="007D140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Lauritzen</dc:creator>
  <cp:keywords/>
  <dc:description/>
  <cp:lastModifiedBy>Louise Lauritzen</cp:lastModifiedBy>
  <cp:revision>2</cp:revision>
  <dcterms:created xsi:type="dcterms:W3CDTF">2020-07-27T06:04:00Z</dcterms:created>
  <dcterms:modified xsi:type="dcterms:W3CDTF">2020-07-27T06:04:00Z</dcterms:modified>
</cp:coreProperties>
</file>