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71D" w:rsidRPr="000E760C" w:rsidRDefault="00EE01AA" w:rsidP="000E760C">
      <w:pPr>
        <w:jc w:val="center"/>
        <w:rPr>
          <w:rFonts w:ascii="Times New Roman" w:hAnsi="Times New Roman" w:cs="Times New Roman"/>
          <w:b/>
          <w:bCs/>
          <w:sz w:val="28"/>
          <w:szCs w:val="28"/>
        </w:rPr>
      </w:pPr>
      <w:r w:rsidRPr="000E760C">
        <w:rPr>
          <w:rFonts w:ascii="Times New Roman" w:hAnsi="Times New Roman" w:cs="Times New Roman"/>
          <w:b/>
          <w:bCs/>
          <w:sz w:val="28"/>
          <w:szCs w:val="28"/>
        </w:rPr>
        <w:t>UDP seeks short-term Consultancy support</w:t>
      </w:r>
    </w:p>
    <w:p w:rsidR="00B52EF2" w:rsidRPr="00A713CB" w:rsidRDefault="00B52EF2" w:rsidP="00B52EF2">
      <w:pPr>
        <w:rPr>
          <w:rFonts w:ascii="Times New Roman" w:hAnsi="Times New Roman" w:cs="Times New Roman"/>
          <w:b/>
          <w:i/>
        </w:rPr>
      </w:pPr>
      <w:r w:rsidRPr="000E760C">
        <w:rPr>
          <w:rFonts w:ascii="Times New Roman" w:hAnsi="Times New Roman" w:cs="Times New Roman"/>
        </w:rPr>
        <w:t xml:space="preserve">UNEP DTU Partnership is seeking to hire a short term Consultant to Support the project </w:t>
      </w:r>
      <w:r w:rsidR="00A713CB" w:rsidRPr="00A713CB">
        <w:rPr>
          <w:rFonts w:ascii="Times New Roman" w:hAnsi="Times New Roman" w:cs="Times New Roman"/>
          <w:b/>
          <w:i/>
        </w:rPr>
        <w:t>Initiative for Climate Action Transparency (ICAT)</w:t>
      </w:r>
    </w:p>
    <w:p w:rsidR="00B52EF2" w:rsidRPr="000E760C" w:rsidRDefault="00B52EF2" w:rsidP="00B52EF2">
      <w:pPr>
        <w:autoSpaceDE w:val="0"/>
        <w:autoSpaceDN w:val="0"/>
        <w:adjustRightInd w:val="0"/>
        <w:spacing w:after="0" w:line="240" w:lineRule="auto"/>
        <w:rPr>
          <w:rFonts w:ascii="Times New Roman" w:hAnsi="Times New Roman" w:cs="Times New Roman"/>
          <w:b/>
          <w:bCs/>
        </w:rPr>
      </w:pPr>
      <w:r w:rsidRPr="000E760C">
        <w:rPr>
          <w:rFonts w:ascii="Times New Roman" w:hAnsi="Times New Roman" w:cs="Times New Roman"/>
          <w:b/>
          <w:bCs/>
        </w:rPr>
        <w:t>Nature of assignment</w:t>
      </w:r>
    </w:p>
    <w:p w:rsidR="00A713CB" w:rsidRDefault="00A713CB" w:rsidP="00B52EF2">
      <w:pPr>
        <w:jc w:val="both"/>
      </w:pPr>
      <w:r w:rsidRPr="00A713CB">
        <w:rPr>
          <w:rFonts w:ascii="Times New Roman" w:hAnsi="Times New Roman" w:cs="Times New Roman"/>
        </w:rPr>
        <w:t xml:space="preserve">The Initiative for Climate Action Transparency (ICAT) was founded to respond to the critical need to support improved transparency and capacity building under the Paris Agreement. ICAT work is guided by with the </w:t>
      </w:r>
      <w:hyperlink r:id="rId5" w:history="1">
        <w:r w:rsidRPr="00A713CB">
          <w:rPr>
            <w:rStyle w:val="Hyperlink"/>
            <w:rFonts w:ascii="Times New Roman" w:hAnsi="Times New Roman" w:cs="Times New Roman"/>
          </w:rPr>
          <w:t>ICAT strategy</w:t>
        </w:r>
      </w:hyperlink>
      <w:r w:rsidRPr="00A713CB">
        <w:rPr>
          <w:rFonts w:ascii="Times New Roman" w:hAnsi="Times New Roman" w:cs="Times New Roman"/>
        </w:rPr>
        <w:t xml:space="preserve"> and </w:t>
      </w:r>
      <w:hyperlink r:id="rId6" w:history="1">
        <w:r w:rsidRPr="00A713CB">
          <w:rPr>
            <w:rStyle w:val="Hyperlink"/>
            <w:rFonts w:ascii="Times New Roman" w:hAnsi="Times New Roman" w:cs="Times New Roman"/>
          </w:rPr>
          <w:t>ICAT long-term work programme</w:t>
        </w:r>
      </w:hyperlink>
      <w:r w:rsidRPr="00A713CB">
        <w:rPr>
          <w:rFonts w:ascii="Times New Roman" w:hAnsi="Times New Roman" w:cs="Times New Roman"/>
        </w:rPr>
        <w:t>.</w:t>
      </w:r>
      <w:r w:rsidRPr="00A713CB">
        <w:t xml:space="preserve"> </w:t>
      </w:r>
    </w:p>
    <w:p w:rsidR="00A713CB" w:rsidRDefault="00A713CB" w:rsidP="00B52EF2">
      <w:pPr>
        <w:jc w:val="both"/>
        <w:rPr>
          <w:rFonts w:ascii="Times New Roman" w:hAnsi="Times New Roman" w:cs="Times New Roman"/>
        </w:rPr>
      </w:pPr>
      <w:r w:rsidRPr="00A713CB">
        <w:rPr>
          <w:rFonts w:ascii="Times New Roman" w:hAnsi="Times New Roman" w:cs="Times New Roman"/>
        </w:rPr>
        <w:t>ICAT integrates guidance, capacity building and knowledge sharing to engage countries in the use of a common framework to assess the impacts of their policies and actions and report progress, fostering greater transparency, effectiveness and ambition. The Initiative will improve the availability and quality of data and enable countries to promote efficient, cost-effective policies. The Initiative will also provide a platform for countries to share lessons learned and build mutual confidence in their climate actions.</w:t>
      </w:r>
    </w:p>
    <w:p w:rsidR="00A713CB" w:rsidRDefault="00A713CB" w:rsidP="00B52EF2">
      <w:pPr>
        <w:jc w:val="both"/>
        <w:rPr>
          <w:rFonts w:ascii="Times New Roman" w:hAnsi="Times New Roman" w:cs="Times New Roman"/>
        </w:rPr>
      </w:pPr>
      <w:r w:rsidRPr="00A713CB">
        <w:rPr>
          <w:rFonts w:ascii="Times New Roman" w:hAnsi="Times New Roman" w:cs="Times New Roman"/>
        </w:rPr>
        <w:t xml:space="preserve">In collaboration with technical experts from around the world, the Initiative </w:t>
      </w:r>
      <w:r>
        <w:rPr>
          <w:rFonts w:ascii="Times New Roman" w:hAnsi="Times New Roman" w:cs="Times New Roman"/>
        </w:rPr>
        <w:t xml:space="preserve">has </w:t>
      </w:r>
      <w:r w:rsidRPr="00A713CB">
        <w:rPr>
          <w:rFonts w:ascii="Times New Roman" w:hAnsi="Times New Roman" w:cs="Times New Roman"/>
        </w:rPr>
        <w:t>develop</w:t>
      </w:r>
      <w:r>
        <w:rPr>
          <w:rFonts w:ascii="Times New Roman" w:hAnsi="Times New Roman" w:cs="Times New Roman"/>
        </w:rPr>
        <w:t xml:space="preserve">ed </w:t>
      </w:r>
      <w:hyperlink r:id="rId7" w:history="1">
        <w:r w:rsidRPr="00A713CB">
          <w:rPr>
            <w:rStyle w:val="Hyperlink"/>
            <w:rFonts w:ascii="Times New Roman" w:hAnsi="Times New Roman" w:cs="Times New Roman"/>
          </w:rPr>
          <w:t>a series of assessment guides</w:t>
        </w:r>
      </w:hyperlink>
      <w:r w:rsidRPr="00A713CB">
        <w:rPr>
          <w:rFonts w:ascii="Times New Roman" w:hAnsi="Times New Roman" w:cs="Times New Roman"/>
        </w:rPr>
        <w:t xml:space="preserve"> for countries to use to transparently measure and assess the impacts of climate policies and actions. This includes methodologies for measuring the effects of policies and actions on reducing greenhouse gas emissions, adapting to climate change, responding to sustainable development needs and driving transformational change.</w:t>
      </w:r>
      <w:r>
        <w:rPr>
          <w:rFonts w:ascii="Times New Roman" w:hAnsi="Times New Roman" w:cs="Times New Roman"/>
        </w:rPr>
        <w:t xml:space="preserve"> </w:t>
      </w:r>
    </w:p>
    <w:p w:rsidR="00A713CB" w:rsidRDefault="00A713CB" w:rsidP="00B52EF2">
      <w:pPr>
        <w:jc w:val="both"/>
        <w:rPr>
          <w:rFonts w:ascii="Times New Roman" w:hAnsi="Times New Roman" w:cs="Times New Roman"/>
        </w:rPr>
      </w:pPr>
      <w:r w:rsidRPr="00A713CB">
        <w:rPr>
          <w:rFonts w:ascii="Times New Roman" w:hAnsi="Times New Roman" w:cs="Times New Roman"/>
        </w:rPr>
        <w:t>The Initiative is also working with developing countries to strengthen capacity to assess climate actions (in the context of their NDCs) and report their progress in line with the Paris Agreement, based on individual country needs. The Initiative supports in-country capacity development programmes through training modules on measurement, reporting and verification (MRV) of policies and actions, and knowledge sharing of good practice and lessons learned.</w:t>
      </w:r>
      <w:r>
        <w:rPr>
          <w:rFonts w:ascii="Times New Roman" w:hAnsi="Times New Roman" w:cs="Times New Roman"/>
        </w:rPr>
        <w:t xml:space="preserve"> </w:t>
      </w:r>
    </w:p>
    <w:p w:rsidR="00B52EF2" w:rsidRPr="000E760C" w:rsidRDefault="00B52EF2" w:rsidP="00B52EF2">
      <w:pPr>
        <w:jc w:val="both"/>
        <w:rPr>
          <w:rFonts w:ascii="Times New Roman" w:hAnsi="Times New Roman" w:cs="Times New Roman"/>
        </w:rPr>
      </w:pPr>
      <w:r w:rsidRPr="000E760C">
        <w:rPr>
          <w:rFonts w:ascii="Times New Roman" w:hAnsi="Times New Roman" w:cs="Times New Roman"/>
        </w:rPr>
        <w:t xml:space="preserve">On this background, </w:t>
      </w:r>
      <w:r w:rsidR="00636576">
        <w:rPr>
          <w:rFonts w:ascii="Times New Roman" w:hAnsi="Times New Roman" w:cs="Times New Roman"/>
        </w:rPr>
        <w:t xml:space="preserve">pilot case studies have been undertaken to demonstrate, how the assessment guides can be used by non-state actors to assess impacts of policies and actions. Furthermore, </w:t>
      </w:r>
      <w:r w:rsidR="00A713CB">
        <w:rPr>
          <w:rFonts w:ascii="Times New Roman" w:hAnsi="Times New Roman" w:cs="Times New Roman"/>
        </w:rPr>
        <w:t xml:space="preserve">UNEP DTU </w:t>
      </w:r>
      <w:r w:rsidR="009E07CC">
        <w:rPr>
          <w:rFonts w:ascii="Times New Roman" w:hAnsi="Times New Roman" w:cs="Times New Roman"/>
        </w:rPr>
        <w:t xml:space="preserve">Partnership (UDP) </w:t>
      </w:r>
      <w:r w:rsidR="00A713CB">
        <w:rPr>
          <w:rFonts w:ascii="Times New Roman" w:hAnsi="Times New Roman" w:cs="Times New Roman"/>
        </w:rPr>
        <w:t>has developed draft ca</w:t>
      </w:r>
      <w:r w:rsidR="00636576">
        <w:rPr>
          <w:rFonts w:ascii="Times New Roman" w:hAnsi="Times New Roman" w:cs="Times New Roman"/>
        </w:rPr>
        <w:t xml:space="preserve">pacity building </w:t>
      </w:r>
      <w:r w:rsidR="00B55351">
        <w:rPr>
          <w:rFonts w:ascii="Times New Roman" w:hAnsi="Times New Roman" w:cs="Times New Roman"/>
        </w:rPr>
        <w:t xml:space="preserve">(CB) </w:t>
      </w:r>
      <w:r w:rsidR="00636576">
        <w:rPr>
          <w:rFonts w:ascii="Times New Roman" w:hAnsi="Times New Roman" w:cs="Times New Roman"/>
        </w:rPr>
        <w:t>modules for four of the guides</w:t>
      </w:r>
      <w:r w:rsidR="00845279">
        <w:rPr>
          <w:rFonts w:ascii="Times New Roman" w:hAnsi="Times New Roman" w:cs="Times New Roman"/>
        </w:rPr>
        <w:t>, namely</w:t>
      </w:r>
      <w:r w:rsidR="00636576">
        <w:rPr>
          <w:rFonts w:ascii="Times New Roman" w:hAnsi="Times New Roman" w:cs="Times New Roman"/>
        </w:rPr>
        <w:t xml:space="preserve">: 1) Introduction to the ICAT Assessment Guides, 2) </w:t>
      </w:r>
      <w:r w:rsidR="00B55351">
        <w:rPr>
          <w:rFonts w:ascii="Times New Roman" w:hAnsi="Times New Roman" w:cs="Times New Roman"/>
        </w:rPr>
        <w:t xml:space="preserve">the </w:t>
      </w:r>
      <w:r w:rsidR="00636576">
        <w:rPr>
          <w:rFonts w:ascii="Times New Roman" w:hAnsi="Times New Roman" w:cs="Times New Roman"/>
        </w:rPr>
        <w:t xml:space="preserve">ICAT Sustainable Development Methodology, 3) </w:t>
      </w:r>
      <w:r w:rsidR="00B55351">
        <w:rPr>
          <w:rFonts w:ascii="Times New Roman" w:hAnsi="Times New Roman" w:cs="Times New Roman"/>
        </w:rPr>
        <w:t xml:space="preserve">the </w:t>
      </w:r>
      <w:r w:rsidR="00636576">
        <w:rPr>
          <w:rFonts w:ascii="Times New Roman" w:hAnsi="Times New Roman" w:cs="Times New Roman"/>
        </w:rPr>
        <w:t xml:space="preserve">Transformational Change Methodology and </w:t>
      </w:r>
      <w:r w:rsidR="00B55351">
        <w:rPr>
          <w:rFonts w:ascii="Times New Roman" w:hAnsi="Times New Roman" w:cs="Times New Roman"/>
        </w:rPr>
        <w:t>4) the</w:t>
      </w:r>
      <w:r w:rsidR="00636576">
        <w:rPr>
          <w:rFonts w:ascii="Times New Roman" w:hAnsi="Times New Roman" w:cs="Times New Roman"/>
        </w:rPr>
        <w:t xml:space="preserve"> Stakeholder Participation Guide. </w:t>
      </w:r>
    </w:p>
    <w:p w:rsidR="00263514" w:rsidRPr="000E760C" w:rsidRDefault="00263514" w:rsidP="00263514">
      <w:pPr>
        <w:pStyle w:val="t27"/>
        <w:tabs>
          <w:tab w:val="left" w:pos="1201"/>
          <w:tab w:val="left" w:pos="4824"/>
        </w:tabs>
        <w:spacing w:line="276" w:lineRule="auto"/>
        <w:jc w:val="both"/>
        <w:rPr>
          <w:rFonts w:eastAsiaTheme="minorHAnsi"/>
          <w:sz w:val="22"/>
          <w:szCs w:val="22"/>
          <w:lang w:val="en-SG"/>
        </w:rPr>
      </w:pPr>
      <w:r w:rsidRPr="000E760C">
        <w:rPr>
          <w:rFonts w:eastAsiaTheme="minorHAnsi"/>
          <w:sz w:val="22"/>
          <w:szCs w:val="22"/>
          <w:lang w:val="en-SG"/>
        </w:rPr>
        <w:t>The consultant will work in close cooperation with UDP representative</w:t>
      </w:r>
      <w:r w:rsidR="009E07CC">
        <w:rPr>
          <w:rFonts w:eastAsiaTheme="minorHAnsi"/>
          <w:sz w:val="22"/>
          <w:szCs w:val="22"/>
          <w:lang w:val="en-SG"/>
        </w:rPr>
        <w:t>s</w:t>
      </w:r>
      <w:r w:rsidRPr="000E760C">
        <w:rPr>
          <w:rFonts w:eastAsiaTheme="minorHAnsi"/>
          <w:sz w:val="22"/>
          <w:szCs w:val="22"/>
          <w:lang w:val="en-SG"/>
        </w:rPr>
        <w:t xml:space="preserve"> to deliver the following </w:t>
      </w:r>
      <w:r w:rsidR="00DA7670" w:rsidRPr="000E760C">
        <w:rPr>
          <w:rFonts w:eastAsiaTheme="minorHAnsi"/>
          <w:sz w:val="22"/>
          <w:szCs w:val="22"/>
          <w:lang w:val="en-SG"/>
        </w:rPr>
        <w:t>tasks</w:t>
      </w:r>
      <w:r w:rsidRPr="000E760C">
        <w:rPr>
          <w:rFonts w:eastAsiaTheme="minorHAnsi"/>
          <w:sz w:val="22"/>
          <w:szCs w:val="22"/>
          <w:lang w:val="en-SG"/>
        </w:rPr>
        <w:t>:</w:t>
      </w:r>
    </w:p>
    <w:p w:rsidR="00355568" w:rsidRPr="000E760C" w:rsidRDefault="00355568" w:rsidP="00263514">
      <w:pPr>
        <w:pStyle w:val="t27"/>
        <w:tabs>
          <w:tab w:val="left" w:pos="1201"/>
          <w:tab w:val="left" w:pos="4824"/>
        </w:tabs>
        <w:spacing w:line="276" w:lineRule="auto"/>
        <w:jc w:val="both"/>
        <w:rPr>
          <w:sz w:val="22"/>
          <w:szCs w:val="22"/>
        </w:rPr>
      </w:pPr>
    </w:p>
    <w:p w:rsidR="00355568" w:rsidRPr="000E760C" w:rsidRDefault="00355568" w:rsidP="00263514">
      <w:pPr>
        <w:pStyle w:val="t27"/>
        <w:tabs>
          <w:tab w:val="left" w:pos="1201"/>
          <w:tab w:val="left" w:pos="4824"/>
        </w:tabs>
        <w:spacing w:line="276" w:lineRule="auto"/>
        <w:jc w:val="both"/>
        <w:rPr>
          <w:b/>
          <w:sz w:val="22"/>
          <w:szCs w:val="22"/>
        </w:rPr>
      </w:pPr>
      <w:r w:rsidRPr="000E760C">
        <w:rPr>
          <w:b/>
          <w:sz w:val="22"/>
          <w:szCs w:val="22"/>
        </w:rPr>
        <w:t xml:space="preserve">1- Review </w:t>
      </w:r>
      <w:r w:rsidR="00B55351">
        <w:rPr>
          <w:b/>
          <w:sz w:val="22"/>
          <w:szCs w:val="22"/>
        </w:rPr>
        <w:t>and edit the pilot case studies to ensure the front-page</w:t>
      </w:r>
      <w:r w:rsidR="004139FF">
        <w:rPr>
          <w:b/>
          <w:sz w:val="22"/>
          <w:szCs w:val="22"/>
        </w:rPr>
        <w:t>s</w:t>
      </w:r>
      <w:r w:rsidR="00B55351">
        <w:rPr>
          <w:b/>
          <w:sz w:val="22"/>
          <w:szCs w:val="22"/>
        </w:rPr>
        <w:t>, lay-out and language follows ICAT publication requirements and identify, which pilot case study reports are relevant to use as real-world examples in the CB modules.</w:t>
      </w:r>
    </w:p>
    <w:p w:rsidR="00DA7670" w:rsidRPr="000E760C" w:rsidRDefault="00DA7670" w:rsidP="00263514">
      <w:pPr>
        <w:pStyle w:val="t27"/>
        <w:tabs>
          <w:tab w:val="left" w:pos="1201"/>
          <w:tab w:val="left" w:pos="4824"/>
        </w:tabs>
        <w:spacing w:line="276" w:lineRule="auto"/>
        <w:jc w:val="both"/>
        <w:rPr>
          <w:b/>
          <w:sz w:val="22"/>
          <w:szCs w:val="22"/>
        </w:rPr>
      </w:pPr>
    </w:p>
    <w:p w:rsidR="00355568" w:rsidRPr="000E760C" w:rsidRDefault="00DA7670" w:rsidP="00263514">
      <w:pPr>
        <w:pStyle w:val="t27"/>
        <w:tabs>
          <w:tab w:val="left" w:pos="1201"/>
          <w:tab w:val="left" w:pos="4824"/>
        </w:tabs>
        <w:spacing w:line="276" w:lineRule="auto"/>
        <w:jc w:val="both"/>
        <w:rPr>
          <w:b/>
          <w:sz w:val="22"/>
          <w:szCs w:val="22"/>
        </w:rPr>
      </w:pPr>
      <w:r w:rsidRPr="000E760C">
        <w:rPr>
          <w:b/>
          <w:sz w:val="22"/>
          <w:szCs w:val="22"/>
        </w:rPr>
        <w:t>Activities</w:t>
      </w:r>
      <w:r w:rsidR="00D57D64" w:rsidRPr="000E760C">
        <w:rPr>
          <w:b/>
          <w:sz w:val="22"/>
          <w:szCs w:val="22"/>
        </w:rPr>
        <w:t>:</w:t>
      </w:r>
    </w:p>
    <w:p w:rsidR="00B55351" w:rsidRDefault="00B55351" w:rsidP="0006183B">
      <w:pPr>
        <w:pStyle w:val="t27"/>
        <w:numPr>
          <w:ilvl w:val="0"/>
          <w:numId w:val="1"/>
        </w:numPr>
        <w:tabs>
          <w:tab w:val="left" w:pos="1201"/>
          <w:tab w:val="left" w:pos="4824"/>
        </w:tabs>
        <w:spacing w:line="276" w:lineRule="auto"/>
        <w:jc w:val="both"/>
        <w:rPr>
          <w:sz w:val="22"/>
          <w:szCs w:val="22"/>
        </w:rPr>
      </w:pPr>
      <w:r w:rsidRPr="00B55351">
        <w:rPr>
          <w:sz w:val="22"/>
          <w:szCs w:val="22"/>
        </w:rPr>
        <w:t xml:space="preserve">Review and edit seven pilot case study reports </w:t>
      </w:r>
      <w:r>
        <w:rPr>
          <w:sz w:val="22"/>
          <w:szCs w:val="22"/>
        </w:rPr>
        <w:t>to make them publishable</w:t>
      </w:r>
    </w:p>
    <w:p w:rsidR="00355568" w:rsidRPr="00B55351" w:rsidRDefault="00B55351" w:rsidP="0006183B">
      <w:pPr>
        <w:pStyle w:val="t27"/>
        <w:numPr>
          <w:ilvl w:val="0"/>
          <w:numId w:val="1"/>
        </w:numPr>
        <w:tabs>
          <w:tab w:val="left" w:pos="1201"/>
          <w:tab w:val="left" w:pos="4824"/>
        </w:tabs>
        <w:spacing w:line="276" w:lineRule="auto"/>
        <w:jc w:val="both"/>
        <w:rPr>
          <w:sz w:val="22"/>
          <w:szCs w:val="22"/>
        </w:rPr>
      </w:pPr>
      <w:r>
        <w:rPr>
          <w:sz w:val="22"/>
          <w:szCs w:val="22"/>
        </w:rPr>
        <w:t>Identify, which parts of the case studies are relevant to which of the CB modules</w:t>
      </w:r>
    </w:p>
    <w:p w:rsidR="00355568" w:rsidRPr="000E760C" w:rsidRDefault="00B55351" w:rsidP="00355568">
      <w:pPr>
        <w:pStyle w:val="t27"/>
        <w:numPr>
          <w:ilvl w:val="0"/>
          <w:numId w:val="1"/>
        </w:numPr>
        <w:tabs>
          <w:tab w:val="left" w:pos="1201"/>
          <w:tab w:val="left" w:pos="4824"/>
        </w:tabs>
        <w:spacing w:line="276" w:lineRule="auto"/>
        <w:jc w:val="both"/>
        <w:rPr>
          <w:sz w:val="22"/>
          <w:szCs w:val="22"/>
        </w:rPr>
      </w:pPr>
      <w:r>
        <w:rPr>
          <w:sz w:val="22"/>
          <w:szCs w:val="22"/>
        </w:rPr>
        <w:t>Describe how the pil</w:t>
      </w:r>
      <w:r w:rsidR="004139FF">
        <w:rPr>
          <w:sz w:val="22"/>
          <w:szCs w:val="22"/>
        </w:rPr>
        <w:t xml:space="preserve">ot case studies are relevant to </w:t>
      </w:r>
      <w:r>
        <w:rPr>
          <w:sz w:val="22"/>
          <w:szCs w:val="22"/>
        </w:rPr>
        <w:t>methodological steps in the CB modules</w:t>
      </w:r>
    </w:p>
    <w:p w:rsidR="00DA7670" w:rsidRPr="000E760C" w:rsidRDefault="00DA7670" w:rsidP="00DA7670">
      <w:pPr>
        <w:pStyle w:val="t27"/>
        <w:tabs>
          <w:tab w:val="left" w:pos="1201"/>
          <w:tab w:val="left" w:pos="4824"/>
        </w:tabs>
        <w:spacing w:line="276" w:lineRule="auto"/>
        <w:jc w:val="both"/>
        <w:rPr>
          <w:sz w:val="22"/>
          <w:szCs w:val="22"/>
        </w:rPr>
      </w:pPr>
      <w:r w:rsidRPr="000E760C">
        <w:rPr>
          <w:sz w:val="22"/>
          <w:szCs w:val="22"/>
        </w:rPr>
        <w:tab/>
      </w:r>
    </w:p>
    <w:p w:rsidR="00DA7670" w:rsidRPr="000E760C" w:rsidRDefault="00DA7670" w:rsidP="00DA7670">
      <w:pPr>
        <w:pStyle w:val="t27"/>
        <w:tabs>
          <w:tab w:val="left" w:pos="1201"/>
          <w:tab w:val="left" w:pos="4824"/>
        </w:tabs>
        <w:spacing w:line="276" w:lineRule="auto"/>
        <w:jc w:val="both"/>
        <w:rPr>
          <w:b/>
          <w:sz w:val="22"/>
          <w:szCs w:val="22"/>
        </w:rPr>
      </w:pPr>
      <w:r w:rsidRPr="000E760C">
        <w:rPr>
          <w:b/>
          <w:sz w:val="22"/>
          <w:szCs w:val="22"/>
        </w:rPr>
        <w:t>Deliverable#1:</w:t>
      </w:r>
    </w:p>
    <w:p w:rsidR="00DA7670" w:rsidRPr="000E760C" w:rsidRDefault="00B55351" w:rsidP="00802CFE">
      <w:pPr>
        <w:pStyle w:val="t27"/>
        <w:tabs>
          <w:tab w:val="left" w:pos="1201"/>
          <w:tab w:val="left" w:pos="4824"/>
        </w:tabs>
        <w:spacing w:line="276" w:lineRule="auto"/>
        <w:jc w:val="both"/>
        <w:rPr>
          <w:sz w:val="22"/>
          <w:szCs w:val="22"/>
        </w:rPr>
      </w:pPr>
      <w:r>
        <w:rPr>
          <w:sz w:val="22"/>
          <w:szCs w:val="22"/>
        </w:rPr>
        <w:t xml:space="preserve">The pilot case studies are finalized for publication and references to the relevant </w:t>
      </w:r>
      <w:r w:rsidR="004139FF">
        <w:rPr>
          <w:sz w:val="22"/>
          <w:szCs w:val="22"/>
        </w:rPr>
        <w:t>reports</w:t>
      </w:r>
      <w:r>
        <w:rPr>
          <w:sz w:val="22"/>
          <w:szCs w:val="22"/>
        </w:rPr>
        <w:t xml:space="preserve"> are integrated into the final CB modules. </w:t>
      </w:r>
    </w:p>
    <w:p w:rsidR="00DA7670" w:rsidRPr="000E760C" w:rsidRDefault="00DA7670" w:rsidP="00DA7670">
      <w:pPr>
        <w:pStyle w:val="t27"/>
        <w:tabs>
          <w:tab w:val="left" w:pos="1201"/>
          <w:tab w:val="left" w:pos="4824"/>
        </w:tabs>
        <w:spacing w:line="276" w:lineRule="auto"/>
        <w:jc w:val="both"/>
        <w:rPr>
          <w:sz w:val="22"/>
          <w:szCs w:val="22"/>
        </w:rPr>
      </w:pPr>
    </w:p>
    <w:p w:rsidR="00355568" w:rsidRPr="000E760C" w:rsidRDefault="00355568" w:rsidP="00355568">
      <w:pPr>
        <w:pStyle w:val="t27"/>
        <w:tabs>
          <w:tab w:val="left" w:pos="1201"/>
          <w:tab w:val="left" w:pos="4824"/>
        </w:tabs>
        <w:spacing w:line="276" w:lineRule="auto"/>
        <w:jc w:val="both"/>
        <w:rPr>
          <w:b/>
          <w:sz w:val="22"/>
          <w:szCs w:val="22"/>
        </w:rPr>
      </w:pPr>
      <w:r w:rsidRPr="000E760C">
        <w:rPr>
          <w:b/>
          <w:sz w:val="22"/>
          <w:szCs w:val="22"/>
        </w:rPr>
        <w:t xml:space="preserve">2- </w:t>
      </w:r>
      <w:r w:rsidR="00B55351">
        <w:rPr>
          <w:b/>
          <w:sz w:val="22"/>
          <w:szCs w:val="22"/>
        </w:rPr>
        <w:t xml:space="preserve">Review and update the draft CB modules </w:t>
      </w:r>
      <w:r w:rsidR="004139FF">
        <w:rPr>
          <w:b/>
          <w:sz w:val="22"/>
          <w:szCs w:val="22"/>
        </w:rPr>
        <w:t xml:space="preserve">with the latest ICAT design for figures and tables and include interactive references to pilot case study examples and exercises </w:t>
      </w:r>
    </w:p>
    <w:p w:rsidR="00D57D64" w:rsidRPr="000E760C" w:rsidRDefault="00D57D64" w:rsidP="00355568">
      <w:pPr>
        <w:pStyle w:val="t27"/>
        <w:tabs>
          <w:tab w:val="left" w:pos="1201"/>
          <w:tab w:val="left" w:pos="4824"/>
        </w:tabs>
        <w:spacing w:line="276" w:lineRule="auto"/>
        <w:jc w:val="both"/>
        <w:rPr>
          <w:b/>
          <w:sz w:val="22"/>
          <w:szCs w:val="22"/>
        </w:rPr>
      </w:pPr>
    </w:p>
    <w:p w:rsidR="00D57D64" w:rsidRPr="000E760C" w:rsidRDefault="00DA7670" w:rsidP="00355568">
      <w:pPr>
        <w:pStyle w:val="t27"/>
        <w:tabs>
          <w:tab w:val="left" w:pos="1201"/>
          <w:tab w:val="left" w:pos="4824"/>
        </w:tabs>
        <w:spacing w:line="276" w:lineRule="auto"/>
        <w:jc w:val="both"/>
        <w:rPr>
          <w:b/>
          <w:sz w:val="22"/>
          <w:szCs w:val="22"/>
        </w:rPr>
      </w:pPr>
      <w:r w:rsidRPr="000E760C">
        <w:rPr>
          <w:b/>
          <w:sz w:val="22"/>
          <w:szCs w:val="22"/>
        </w:rPr>
        <w:lastRenderedPageBreak/>
        <w:t>Activities</w:t>
      </w:r>
      <w:r w:rsidR="00D57D64" w:rsidRPr="000E760C">
        <w:rPr>
          <w:b/>
          <w:sz w:val="22"/>
          <w:szCs w:val="22"/>
        </w:rPr>
        <w:t>:</w:t>
      </w:r>
    </w:p>
    <w:p w:rsidR="004139FF" w:rsidRDefault="004139FF" w:rsidP="009B0BFA">
      <w:pPr>
        <w:pStyle w:val="t27"/>
        <w:numPr>
          <w:ilvl w:val="0"/>
          <w:numId w:val="1"/>
        </w:numPr>
        <w:tabs>
          <w:tab w:val="left" w:pos="1201"/>
          <w:tab w:val="left" w:pos="4824"/>
        </w:tabs>
        <w:spacing w:line="276" w:lineRule="auto"/>
        <w:jc w:val="both"/>
        <w:rPr>
          <w:sz w:val="22"/>
          <w:szCs w:val="22"/>
        </w:rPr>
      </w:pPr>
      <w:r w:rsidRPr="004139FF">
        <w:rPr>
          <w:sz w:val="22"/>
          <w:szCs w:val="22"/>
        </w:rPr>
        <w:t>Review and update the</w:t>
      </w:r>
      <w:r>
        <w:rPr>
          <w:sz w:val="22"/>
          <w:szCs w:val="22"/>
        </w:rPr>
        <w:t xml:space="preserve"> CB modules for an</w:t>
      </w:r>
      <w:r w:rsidRPr="004139FF">
        <w:rPr>
          <w:sz w:val="22"/>
          <w:szCs w:val="22"/>
        </w:rPr>
        <w:t xml:space="preserve"> Introduction to the ICAT Series of Assessment Guides </w:t>
      </w:r>
    </w:p>
    <w:p w:rsidR="00D57D64" w:rsidRPr="004139FF" w:rsidRDefault="004139FF" w:rsidP="009B0BFA">
      <w:pPr>
        <w:pStyle w:val="t27"/>
        <w:numPr>
          <w:ilvl w:val="0"/>
          <w:numId w:val="1"/>
        </w:numPr>
        <w:tabs>
          <w:tab w:val="left" w:pos="1201"/>
          <w:tab w:val="left" w:pos="4824"/>
        </w:tabs>
        <w:spacing w:line="276" w:lineRule="auto"/>
        <w:jc w:val="both"/>
        <w:rPr>
          <w:sz w:val="22"/>
          <w:szCs w:val="22"/>
        </w:rPr>
      </w:pPr>
      <w:r>
        <w:rPr>
          <w:sz w:val="22"/>
          <w:szCs w:val="22"/>
        </w:rPr>
        <w:t>Review and update the CB modules for the ICAT Sustainable Development Methodology</w:t>
      </w:r>
    </w:p>
    <w:p w:rsidR="00D57D64" w:rsidRPr="000E760C" w:rsidRDefault="004139FF" w:rsidP="00D57D64">
      <w:pPr>
        <w:pStyle w:val="t27"/>
        <w:numPr>
          <w:ilvl w:val="0"/>
          <w:numId w:val="1"/>
        </w:numPr>
        <w:tabs>
          <w:tab w:val="left" w:pos="1201"/>
          <w:tab w:val="left" w:pos="4824"/>
        </w:tabs>
        <w:spacing w:line="276" w:lineRule="auto"/>
        <w:jc w:val="both"/>
        <w:rPr>
          <w:sz w:val="22"/>
          <w:szCs w:val="22"/>
        </w:rPr>
      </w:pPr>
      <w:r>
        <w:rPr>
          <w:sz w:val="22"/>
          <w:szCs w:val="22"/>
        </w:rPr>
        <w:t>Review and update the CB modules for the ICAT Transformational Change Methodology</w:t>
      </w:r>
    </w:p>
    <w:p w:rsidR="00D57D64" w:rsidRPr="000E760C" w:rsidRDefault="004139FF" w:rsidP="00D57D64">
      <w:pPr>
        <w:pStyle w:val="t27"/>
        <w:numPr>
          <w:ilvl w:val="0"/>
          <w:numId w:val="1"/>
        </w:numPr>
        <w:tabs>
          <w:tab w:val="left" w:pos="1201"/>
          <w:tab w:val="left" w:pos="4824"/>
        </w:tabs>
        <w:spacing w:line="276" w:lineRule="auto"/>
        <w:jc w:val="both"/>
        <w:rPr>
          <w:sz w:val="22"/>
          <w:szCs w:val="22"/>
        </w:rPr>
      </w:pPr>
      <w:r>
        <w:rPr>
          <w:sz w:val="22"/>
          <w:szCs w:val="22"/>
        </w:rPr>
        <w:t>Review and update the CB modules for the ICAT Stakeholder Participation Guide</w:t>
      </w:r>
    </w:p>
    <w:p w:rsidR="00DA7670" w:rsidRPr="000E760C" w:rsidRDefault="00DA7670" w:rsidP="00DA7670">
      <w:pPr>
        <w:pStyle w:val="t27"/>
        <w:tabs>
          <w:tab w:val="left" w:pos="1201"/>
          <w:tab w:val="left" w:pos="4824"/>
        </w:tabs>
        <w:spacing w:line="276" w:lineRule="auto"/>
        <w:jc w:val="both"/>
        <w:rPr>
          <w:sz w:val="22"/>
          <w:szCs w:val="22"/>
        </w:rPr>
      </w:pPr>
    </w:p>
    <w:p w:rsidR="00DA7670" w:rsidRPr="000E760C" w:rsidRDefault="00DA7670" w:rsidP="00802CFE">
      <w:pPr>
        <w:pStyle w:val="t27"/>
        <w:tabs>
          <w:tab w:val="left" w:pos="1201"/>
          <w:tab w:val="left" w:pos="4824"/>
        </w:tabs>
        <w:spacing w:line="276" w:lineRule="auto"/>
        <w:jc w:val="both"/>
        <w:rPr>
          <w:b/>
          <w:sz w:val="22"/>
          <w:szCs w:val="22"/>
        </w:rPr>
      </w:pPr>
      <w:r w:rsidRPr="000E760C">
        <w:rPr>
          <w:b/>
          <w:sz w:val="22"/>
          <w:szCs w:val="22"/>
        </w:rPr>
        <w:t>Deliverable#2</w:t>
      </w:r>
    </w:p>
    <w:p w:rsidR="004139FF" w:rsidRDefault="004139FF" w:rsidP="00802CFE">
      <w:pPr>
        <w:pStyle w:val="t27"/>
        <w:tabs>
          <w:tab w:val="left" w:pos="1201"/>
          <w:tab w:val="left" w:pos="4824"/>
        </w:tabs>
        <w:spacing w:line="276" w:lineRule="auto"/>
        <w:jc w:val="both"/>
        <w:rPr>
          <w:sz w:val="22"/>
          <w:szCs w:val="22"/>
        </w:rPr>
      </w:pPr>
      <w:r>
        <w:rPr>
          <w:sz w:val="22"/>
          <w:szCs w:val="22"/>
        </w:rPr>
        <w:t xml:space="preserve">The four CB modules are updated and finalized for publication </w:t>
      </w:r>
    </w:p>
    <w:p w:rsidR="00740247" w:rsidRDefault="00740247" w:rsidP="00DA7670">
      <w:pPr>
        <w:pStyle w:val="t27"/>
        <w:tabs>
          <w:tab w:val="left" w:pos="1201"/>
          <w:tab w:val="left" w:pos="4824"/>
        </w:tabs>
        <w:spacing w:line="276" w:lineRule="auto"/>
        <w:ind w:firstLine="360"/>
        <w:jc w:val="both"/>
        <w:rPr>
          <w:sz w:val="22"/>
          <w:szCs w:val="22"/>
        </w:rPr>
      </w:pPr>
    </w:p>
    <w:p w:rsidR="00D57D64" w:rsidRPr="000E760C" w:rsidRDefault="00D57D64" w:rsidP="004139FF">
      <w:pPr>
        <w:autoSpaceDE w:val="0"/>
        <w:autoSpaceDN w:val="0"/>
        <w:adjustRightInd w:val="0"/>
        <w:spacing w:after="0" w:line="240" w:lineRule="auto"/>
        <w:rPr>
          <w:rFonts w:ascii="Times New Roman" w:hAnsi="Times New Roman" w:cs="Times New Roman"/>
          <w:b/>
          <w:bCs/>
        </w:rPr>
      </w:pPr>
      <w:r w:rsidRPr="000E760C">
        <w:rPr>
          <w:rFonts w:ascii="Times New Roman" w:hAnsi="Times New Roman" w:cs="Times New Roman"/>
          <w:b/>
          <w:bCs/>
        </w:rPr>
        <w:t>D</w:t>
      </w:r>
      <w:r w:rsidR="000B3631">
        <w:rPr>
          <w:rFonts w:ascii="Times New Roman" w:hAnsi="Times New Roman" w:cs="Times New Roman"/>
          <w:b/>
          <w:bCs/>
        </w:rPr>
        <w:t>eliverables/outputs</w:t>
      </w:r>
      <w:r w:rsidRPr="000E760C">
        <w:rPr>
          <w:rFonts w:ascii="Times New Roman" w:hAnsi="Times New Roman" w:cs="Times New Roman"/>
          <w:b/>
          <w:bCs/>
        </w:rPr>
        <w:t xml:space="preserve">: </w:t>
      </w:r>
    </w:p>
    <w:p w:rsidR="00D57D64" w:rsidRPr="000E760C" w:rsidRDefault="00D57D64" w:rsidP="004139FF">
      <w:pPr>
        <w:autoSpaceDE w:val="0"/>
        <w:autoSpaceDN w:val="0"/>
        <w:adjustRightInd w:val="0"/>
        <w:spacing w:after="0" w:line="240" w:lineRule="auto"/>
        <w:rPr>
          <w:rFonts w:ascii="Times New Roman" w:hAnsi="Times New Roman" w:cs="Times New Roman"/>
        </w:rPr>
      </w:pPr>
      <w:r w:rsidRPr="000E760C">
        <w:rPr>
          <w:rFonts w:ascii="Times New Roman" w:hAnsi="Times New Roman" w:cs="Times New Roman"/>
        </w:rPr>
        <w:t xml:space="preserve">The consultant will </w:t>
      </w:r>
      <w:r w:rsidR="00DA7670" w:rsidRPr="000E760C">
        <w:rPr>
          <w:rFonts w:ascii="Times New Roman" w:hAnsi="Times New Roman" w:cs="Times New Roman"/>
        </w:rPr>
        <w:t xml:space="preserve">work closely with </w:t>
      </w:r>
      <w:r w:rsidR="009E07CC">
        <w:rPr>
          <w:rFonts w:ascii="Times New Roman" w:hAnsi="Times New Roman" w:cs="Times New Roman"/>
        </w:rPr>
        <w:t xml:space="preserve">UDP </w:t>
      </w:r>
      <w:r w:rsidR="00DA7670" w:rsidRPr="000E760C">
        <w:rPr>
          <w:rFonts w:ascii="Times New Roman" w:hAnsi="Times New Roman" w:cs="Times New Roman"/>
        </w:rPr>
        <w:t>representative</w:t>
      </w:r>
      <w:r w:rsidR="004139FF">
        <w:rPr>
          <w:rFonts w:ascii="Times New Roman" w:hAnsi="Times New Roman" w:cs="Times New Roman"/>
        </w:rPr>
        <w:t>s</w:t>
      </w:r>
      <w:r w:rsidR="00DA7670" w:rsidRPr="000E760C">
        <w:rPr>
          <w:rFonts w:ascii="Times New Roman" w:hAnsi="Times New Roman" w:cs="Times New Roman"/>
        </w:rPr>
        <w:t xml:space="preserve"> and the consultant will </w:t>
      </w:r>
      <w:r w:rsidRPr="000E760C">
        <w:rPr>
          <w:rFonts w:ascii="Times New Roman" w:hAnsi="Times New Roman" w:cs="Times New Roman"/>
        </w:rPr>
        <w:t xml:space="preserve">be responsible to submit the final deliverables </w:t>
      </w:r>
      <w:r w:rsidR="00DA7670" w:rsidRPr="000E760C">
        <w:rPr>
          <w:rFonts w:ascii="Times New Roman" w:hAnsi="Times New Roman" w:cs="Times New Roman"/>
        </w:rPr>
        <w:t xml:space="preserve">to </w:t>
      </w:r>
      <w:r w:rsidR="009E07CC">
        <w:rPr>
          <w:rFonts w:ascii="Times New Roman" w:hAnsi="Times New Roman" w:cs="Times New Roman"/>
        </w:rPr>
        <w:t>UDP</w:t>
      </w:r>
      <w:r w:rsidR="00DA7670" w:rsidRPr="000E760C">
        <w:rPr>
          <w:rFonts w:ascii="Times New Roman" w:hAnsi="Times New Roman" w:cs="Times New Roman"/>
        </w:rPr>
        <w:t xml:space="preserve">. </w:t>
      </w:r>
      <w:r w:rsidR="009E07CC">
        <w:rPr>
          <w:rFonts w:ascii="Times New Roman" w:hAnsi="Times New Roman" w:cs="Times New Roman"/>
        </w:rPr>
        <w:t>UDP</w:t>
      </w:r>
      <w:r w:rsidR="00DA7670" w:rsidRPr="000E760C">
        <w:rPr>
          <w:rFonts w:ascii="Times New Roman" w:hAnsi="Times New Roman" w:cs="Times New Roman"/>
        </w:rPr>
        <w:t xml:space="preserve"> will review all written deliverables </w:t>
      </w:r>
      <w:r w:rsidR="009E07CC">
        <w:rPr>
          <w:rFonts w:ascii="Times New Roman" w:hAnsi="Times New Roman" w:cs="Times New Roman"/>
        </w:rPr>
        <w:t xml:space="preserve">for approval </w:t>
      </w:r>
      <w:r w:rsidR="00DA7670" w:rsidRPr="000E760C">
        <w:rPr>
          <w:rFonts w:ascii="Times New Roman" w:hAnsi="Times New Roman" w:cs="Times New Roman"/>
        </w:rPr>
        <w:t>before being finalized.</w:t>
      </w:r>
    </w:p>
    <w:p w:rsidR="00DA7670" w:rsidRPr="000E760C" w:rsidRDefault="00DA7670" w:rsidP="00DA7670">
      <w:pPr>
        <w:autoSpaceDE w:val="0"/>
        <w:autoSpaceDN w:val="0"/>
        <w:adjustRightInd w:val="0"/>
        <w:spacing w:after="0" w:line="240" w:lineRule="auto"/>
        <w:ind w:left="720"/>
        <w:rPr>
          <w:rFonts w:ascii="Times New Roman" w:hAnsi="Times New Roman" w:cs="Times New Roman"/>
        </w:rPr>
      </w:pPr>
    </w:p>
    <w:p w:rsidR="00DA7670" w:rsidRPr="000E760C" w:rsidRDefault="00DA7670" w:rsidP="00DA7670">
      <w:pPr>
        <w:autoSpaceDE w:val="0"/>
        <w:autoSpaceDN w:val="0"/>
        <w:adjustRightInd w:val="0"/>
        <w:spacing w:after="0" w:line="240" w:lineRule="auto"/>
        <w:rPr>
          <w:rFonts w:ascii="Times New Roman" w:hAnsi="Times New Roman" w:cs="Times New Roman"/>
          <w:b/>
          <w:bCs/>
        </w:rPr>
      </w:pPr>
      <w:r w:rsidRPr="000E760C">
        <w:rPr>
          <w:rFonts w:ascii="Times New Roman" w:hAnsi="Times New Roman" w:cs="Times New Roman"/>
          <w:b/>
          <w:bCs/>
        </w:rPr>
        <w:t>Duration of assignment</w:t>
      </w:r>
      <w:r w:rsidR="00740247">
        <w:rPr>
          <w:rFonts w:ascii="Times New Roman" w:hAnsi="Times New Roman" w:cs="Times New Roman"/>
          <w:b/>
          <w:bCs/>
        </w:rPr>
        <w:t xml:space="preserve"> and budget</w:t>
      </w:r>
    </w:p>
    <w:p w:rsidR="00DA7670" w:rsidRDefault="00DA7670" w:rsidP="00DA7670">
      <w:pPr>
        <w:pStyle w:val="Kommentartekst"/>
        <w:rPr>
          <w:rFonts w:ascii="Times New Roman" w:hAnsi="Times New Roman" w:cs="Times New Roman"/>
          <w:sz w:val="22"/>
          <w:szCs w:val="22"/>
        </w:rPr>
      </w:pPr>
      <w:r w:rsidRPr="000E760C">
        <w:rPr>
          <w:rFonts w:ascii="Times New Roman" w:hAnsi="Times New Roman" w:cs="Times New Roman"/>
          <w:sz w:val="22"/>
          <w:szCs w:val="22"/>
        </w:rPr>
        <w:t>The consultant would be hire</w:t>
      </w:r>
      <w:r w:rsidR="004139FF">
        <w:rPr>
          <w:rFonts w:ascii="Times New Roman" w:hAnsi="Times New Roman" w:cs="Times New Roman"/>
          <w:sz w:val="22"/>
          <w:szCs w:val="22"/>
        </w:rPr>
        <w:t>d</w:t>
      </w:r>
      <w:r w:rsidRPr="000E760C">
        <w:rPr>
          <w:rFonts w:ascii="Times New Roman" w:hAnsi="Times New Roman" w:cs="Times New Roman"/>
          <w:sz w:val="22"/>
          <w:szCs w:val="22"/>
        </w:rPr>
        <w:t xml:space="preserve"> for the period of 1 </w:t>
      </w:r>
      <w:r w:rsidR="004139FF">
        <w:rPr>
          <w:rFonts w:ascii="Times New Roman" w:hAnsi="Times New Roman" w:cs="Times New Roman"/>
          <w:sz w:val="22"/>
          <w:szCs w:val="22"/>
        </w:rPr>
        <w:t xml:space="preserve">November </w:t>
      </w:r>
      <w:r w:rsidRPr="000E760C">
        <w:rPr>
          <w:rFonts w:ascii="Times New Roman" w:hAnsi="Times New Roman" w:cs="Times New Roman"/>
          <w:sz w:val="22"/>
          <w:szCs w:val="22"/>
        </w:rPr>
        <w:t xml:space="preserve">to </w:t>
      </w:r>
      <w:r w:rsidR="00783CAF">
        <w:rPr>
          <w:rFonts w:ascii="Times New Roman" w:hAnsi="Times New Roman" w:cs="Times New Roman"/>
          <w:sz w:val="22"/>
          <w:szCs w:val="22"/>
        </w:rPr>
        <w:t>18</w:t>
      </w:r>
      <w:r w:rsidR="004139FF">
        <w:rPr>
          <w:rFonts w:ascii="Times New Roman" w:hAnsi="Times New Roman" w:cs="Times New Roman"/>
          <w:sz w:val="22"/>
          <w:szCs w:val="22"/>
        </w:rPr>
        <w:t xml:space="preserve"> December </w:t>
      </w:r>
      <w:r w:rsidRPr="000E760C">
        <w:rPr>
          <w:rFonts w:ascii="Times New Roman" w:hAnsi="Times New Roman" w:cs="Times New Roman"/>
          <w:sz w:val="22"/>
          <w:szCs w:val="22"/>
        </w:rPr>
        <w:t>202</w:t>
      </w:r>
      <w:r w:rsidR="004139FF">
        <w:rPr>
          <w:rFonts w:ascii="Times New Roman" w:hAnsi="Times New Roman" w:cs="Times New Roman"/>
          <w:sz w:val="22"/>
          <w:szCs w:val="22"/>
        </w:rPr>
        <w:t>0 and is expected to work 30 days</w:t>
      </w:r>
      <w:r w:rsidR="000B3631">
        <w:rPr>
          <w:rFonts w:ascii="Times New Roman" w:hAnsi="Times New Roman" w:cs="Times New Roman"/>
          <w:sz w:val="22"/>
          <w:szCs w:val="22"/>
        </w:rPr>
        <w:t>,</w:t>
      </w:r>
      <w:r w:rsidR="004139FF">
        <w:rPr>
          <w:rFonts w:ascii="Times New Roman" w:hAnsi="Times New Roman" w:cs="Times New Roman"/>
          <w:sz w:val="22"/>
          <w:szCs w:val="22"/>
        </w:rPr>
        <w:t xml:space="preserve"> full time in this period. </w:t>
      </w:r>
      <w:r w:rsidR="000B3631">
        <w:rPr>
          <w:rFonts w:ascii="Times New Roman" w:hAnsi="Times New Roman" w:cs="Times New Roman"/>
          <w:sz w:val="22"/>
          <w:szCs w:val="22"/>
        </w:rPr>
        <w:t>The budget available is USD 2</w:t>
      </w:r>
      <w:r w:rsidR="009E07CC">
        <w:rPr>
          <w:rFonts w:ascii="Times New Roman" w:hAnsi="Times New Roman" w:cs="Times New Roman"/>
          <w:sz w:val="22"/>
          <w:szCs w:val="22"/>
        </w:rPr>
        <w:t>1</w:t>
      </w:r>
      <w:r w:rsidR="000B3631">
        <w:rPr>
          <w:rFonts w:ascii="Times New Roman" w:hAnsi="Times New Roman" w:cs="Times New Roman"/>
          <w:sz w:val="22"/>
          <w:szCs w:val="22"/>
        </w:rPr>
        <w:t>.000.</w:t>
      </w:r>
    </w:p>
    <w:p w:rsidR="00DA7670" w:rsidRPr="000E760C" w:rsidRDefault="00DA7670" w:rsidP="00DA7670">
      <w:pPr>
        <w:autoSpaceDE w:val="0"/>
        <w:autoSpaceDN w:val="0"/>
        <w:adjustRightInd w:val="0"/>
        <w:spacing w:after="0" w:line="240" w:lineRule="auto"/>
        <w:rPr>
          <w:rFonts w:ascii="Times New Roman" w:hAnsi="Times New Roman" w:cs="Times New Roman"/>
          <w:b/>
          <w:bCs/>
        </w:rPr>
      </w:pPr>
      <w:r w:rsidRPr="00783CAF">
        <w:rPr>
          <w:rFonts w:ascii="Times New Roman" w:hAnsi="Times New Roman" w:cs="Times New Roman"/>
          <w:b/>
          <w:bCs/>
        </w:rPr>
        <w:t>Qualifications for consultant:</w:t>
      </w:r>
    </w:p>
    <w:p w:rsidR="00653E0C" w:rsidRPr="000E760C" w:rsidRDefault="00DA7670" w:rsidP="00653E0C">
      <w:pPr>
        <w:pStyle w:val="Listeafsnit"/>
        <w:numPr>
          <w:ilvl w:val="0"/>
          <w:numId w:val="3"/>
        </w:numPr>
        <w:spacing w:after="120"/>
        <w:contextualSpacing w:val="0"/>
        <w:jc w:val="both"/>
        <w:rPr>
          <w:rFonts w:ascii="Times New Roman" w:hAnsi="Times New Roman" w:cs="Times New Roman"/>
        </w:rPr>
      </w:pPr>
      <w:r w:rsidRPr="000E760C">
        <w:rPr>
          <w:rFonts w:ascii="Times New Roman" w:hAnsi="Times New Roman" w:cs="Times New Roman"/>
          <w:bCs/>
        </w:rPr>
        <w:t>Education-</w:t>
      </w:r>
      <w:r w:rsidR="00653E0C" w:rsidRPr="000E760C">
        <w:rPr>
          <w:rFonts w:ascii="Times New Roman" w:hAnsi="Times New Roman" w:cs="Times New Roman"/>
          <w:bCs/>
        </w:rPr>
        <w:t xml:space="preserve"> PhD in Environmental Science with the focus of Sustainability Assessment</w:t>
      </w:r>
    </w:p>
    <w:p w:rsidR="00DA7670" w:rsidRPr="000E760C" w:rsidRDefault="00DA7670" w:rsidP="00653E0C">
      <w:pPr>
        <w:pStyle w:val="Listeafsnit"/>
        <w:spacing w:after="120"/>
        <w:ind w:left="0"/>
        <w:jc w:val="both"/>
        <w:rPr>
          <w:rFonts w:ascii="Times New Roman" w:hAnsi="Times New Roman" w:cs="Times New Roman"/>
          <w:b/>
          <w:bCs/>
        </w:rPr>
      </w:pPr>
      <w:r w:rsidRPr="000E760C">
        <w:rPr>
          <w:rFonts w:ascii="Times New Roman" w:hAnsi="Times New Roman" w:cs="Times New Roman"/>
        </w:rPr>
        <w:t>.</w:t>
      </w:r>
      <w:r w:rsidRPr="000E760C">
        <w:rPr>
          <w:rFonts w:ascii="Times New Roman" w:hAnsi="Times New Roman" w:cs="Times New Roman"/>
          <w:b/>
          <w:bCs/>
        </w:rPr>
        <w:t>Work Experience</w:t>
      </w:r>
    </w:p>
    <w:p w:rsidR="00653E0C" w:rsidRPr="000E760C" w:rsidRDefault="00653E0C" w:rsidP="00DA7670">
      <w:pPr>
        <w:pStyle w:val="Listeafsnit"/>
        <w:spacing w:after="120"/>
        <w:jc w:val="both"/>
        <w:rPr>
          <w:rFonts w:ascii="Times New Roman" w:hAnsi="Times New Roman" w:cs="Times New Roman"/>
        </w:rPr>
      </w:pPr>
      <w:r w:rsidRPr="000E760C">
        <w:rPr>
          <w:rFonts w:ascii="Times New Roman" w:hAnsi="Times New Roman" w:cs="Times New Roman"/>
        </w:rPr>
        <w:t xml:space="preserve">- Minimum of </w:t>
      </w:r>
      <w:r w:rsidR="009E07CC">
        <w:rPr>
          <w:rFonts w:ascii="Times New Roman" w:hAnsi="Times New Roman" w:cs="Times New Roman"/>
        </w:rPr>
        <w:t>five</w:t>
      </w:r>
      <w:r w:rsidRPr="000E760C">
        <w:rPr>
          <w:rFonts w:ascii="Times New Roman" w:hAnsi="Times New Roman" w:cs="Times New Roman"/>
        </w:rPr>
        <w:t xml:space="preserve"> years of relevant work experience in climate change domain particularly transparency</w:t>
      </w:r>
      <w:r w:rsidR="00783CAF">
        <w:rPr>
          <w:rFonts w:ascii="Times New Roman" w:hAnsi="Times New Roman" w:cs="Times New Roman"/>
        </w:rPr>
        <w:t>, p</w:t>
      </w:r>
      <w:r w:rsidRPr="000E760C">
        <w:rPr>
          <w:rFonts w:ascii="Times New Roman" w:hAnsi="Times New Roman" w:cs="Times New Roman"/>
        </w:rPr>
        <w:t>olicy</w:t>
      </w:r>
      <w:r w:rsidR="00783CAF">
        <w:rPr>
          <w:rFonts w:ascii="Times New Roman" w:hAnsi="Times New Roman" w:cs="Times New Roman"/>
        </w:rPr>
        <w:t xml:space="preserve"> and sustainability</w:t>
      </w:r>
      <w:r w:rsidRPr="000E760C">
        <w:rPr>
          <w:rFonts w:ascii="Times New Roman" w:hAnsi="Times New Roman" w:cs="Times New Roman"/>
        </w:rPr>
        <w:t xml:space="preserve"> assessment and </w:t>
      </w:r>
      <w:r w:rsidR="00783CAF">
        <w:rPr>
          <w:rFonts w:ascii="Times New Roman" w:hAnsi="Times New Roman" w:cs="Times New Roman"/>
        </w:rPr>
        <w:t>stakeholder engagement</w:t>
      </w:r>
    </w:p>
    <w:p w:rsidR="000E760C" w:rsidRPr="000E760C" w:rsidRDefault="00653E0C" w:rsidP="00DA7670">
      <w:pPr>
        <w:pStyle w:val="Listeafsnit"/>
        <w:spacing w:after="120"/>
        <w:jc w:val="both"/>
        <w:rPr>
          <w:rFonts w:ascii="Times New Roman" w:hAnsi="Times New Roman" w:cs="Times New Roman"/>
        </w:rPr>
      </w:pPr>
      <w:r w:rsidRPr="000E760C">
        <w:rPr>
          <w:rFonts w:ascii="Times New Roman" w:hAnsi="Times New Roman" w:cs="Times New Roman"/>
        </w:rPr>
        <w:t xml:space="preserve"> - </w:t>
      </w:r>
      <w:r w:rsidR="00DA7670" w:rsidRPr="000E760C">
        <w:rPr>
          <w:rFonts w:ascii="Times New Roman" w:hAnsi="Times New Roman" w:cs="Times New Roman"/>
        </w:rPr>
        <w:t>Extensive e</w:t>
      </w:r>
      <w:r w:rsidR="00783CAF">
        <w:rPr>
          <w:rFonts w:ascii="Times New Roman" w:hAnsi="Times New Roman" w:cs="Times New Roman"/>
        </w:rPr>
        <w:t xml:space="preserve">xperience with policy analysis and </w:t>
      </w:r>
      <w:r w:rsidR="000E760C" w:rsidRPr="000E760C">
        <w:rPr>
          <w:rFonts w:ascii="Times New Roman" w:hAnsi="Times New Roman" w:cs="Times New Roman"/>
        </w:rPr>
        <w:t xml:space="preserve">applying quantitative </w:t>
      </w:r>
      <w:r w:rsidR="00783CAF">
        <w:rPr>
          <w:rFonts w:ascii="Times New Roman" w:hAnsi="Times New Roman" w:cs="Times New Roman"/>
        </w:rPr>
        <w:t xml:space="preserve">and qualitative </w:t>
      </w:r>
      <w:r w:rsidR="000E760C" w:rsidRPr="000E760C">
        <w:rPr>
          <w:rFonts w:ascii="Times New Roman" w:hAnsi="Times New Roman" w:cs="Times New Roman"/>
        </w:rPr>
        <w:t xml:space="preserve">methods for impact assessment </w:t>
      </w:r>
      <w:r w:rsidR="00783CAF">
        <w:rPr>
          <w:rFonts w:ascii="Times New Roman" w:hAnsi="Times New Roman" w:cs="Times New Roman"/>
        </w:rPr>
        <w:t xml:space="preserve">and stakeholder engagement in </w:t>
      </w:r>
      <w:r w:rsidR="000E760C" w:rsidRPr="000E760C">
        <w:rPr>
          <w:rFonts w:ascii="Times New Roman" w:hAnsi="Times New Roman" w:cs="Times New Roman"/>
        </w:rPr>
        <w:t>climate policies.</w:t>
      </w:r>
    </w:p>
    <w:p w:rsidR="00DA7670" w:rsidRPr="000E760C" w:rsidRDefault="000E760C" w:rsidP="00DA7670">
      <w:pPr>
        <w:pStyle w:val="Listeafsnit"/>
        <w:spacing w:after="120"/>
        <w:jc w:val="both"/>
        <w:rPr>
          <w:rFonts w:ascii="Times New Roman" w:hAnsi="Times New Roman" w:cs="Times New Roman"/>
        </w:rPr>
      </w:pPr>
      <w:r w:rsidRPr="000E760C">
        <w:rPr>
          <w:rFonts w:ascii="Times New Roman" w:hAnsi="Times New Roman" w:cs="Times New Roman"/>
        </w:rPr>
        <w:t>- Extensive knowledge about SDGs and the linkage with NDCs.</w:t>
      </w:r>
      <w:r w:rsidR="00DA7670" w:rsidRPr="000E760C">
        <w:rPr>
          <w:rFonts w:ascii="Times New Roman" w:hAnsi="Times New Roman" w:cs="Times New Roman"/>
        </w:rPr>
        <w:t xml:space="preserve"> </w:t>
      </w:r>
    </w:p>
    <w:p w:rsidR="00DA7670" w:rsidRPr="000E760C" w:rsidRDefault="00DA7670" w:rsidP="00DA7670">
      <w:pPr>
        <w:pStyle w:val="Listeafsnit"/>
        <w:spacing w:after="120"/>
        <w:jc w:val="both"/>
        <w:rPr>
          <w:rFonts w:ascii="Times New Roman" w:hAnsi="Times New Roman" w:cs="Times New Roman"/>
        </w:rPr>
      </w:pPr>
      <w:r w:rsidRPr="000E760C">
        <w:rPr>
          <w:rFonts w:ascii="Times New Roman" w:hAnsi="Times New Roman" w:cs="Times New Roman"/>
        </w:rPr>
        <w:t>- - Knowledge on transparency framework and reporting requirements based on the Paris agreement.</w:t>
      </w:r>
    </w:p>
    <w:p w:rsidR="00DA7670" w:rsidRPr="000E760C" w:rsidRDefault="000E760C" w:rsidP="00DA7670">
      <w:pPr>
        <w:pStyle w:val="Listeafsnit"/>
        <w:spacing w:after="120"/>
        <w:jc w:val="both"/>
        <w:rPr>
          <w:rFonts w:ascii="Times New Roman" w:hAnsi="Times New Roman" w:cs="Times New Roman"/>
        </w:rPr>
      </w:pPr>
      <w:r w:rsidRPr="000E760C">
        <w:rPr>
          <w:rFonts w:ascii="Times New Roman" w:hAnsi="Times New Roman" w:cs="Times New Roman"/>
        </w:rPr>
        <w:t xml:space="preserve">-  </w:t>
      </w:r>
      <w:r w:rsidR="00DA7670" w:rsidRPr="000E760C">
        <w:rPr>
          <w:rFonts w:ascii="Times New Roman" w:hAnsi="Times New Roman" w:cs="Times New Roman"/>
        </w:rPr>
        <w:t xml:space="preserve"> Experience in project management</w:t>
      </w:r>
      <w:r w:rsidR="00783CAF">
        <w:rPr>
          <w:rFonts w:ascii="Times New Roman" w:hAnsi="Times New Roman" w:cs="Times New Roman"/>
        </w:rPr>
        <w:t xml:space="preserve">, communication and training regarding </w:t>
      </w:r>
      <w:r w:rsidR="00DA7670" w:rsidRPr="000E760C">
        <w:rPr>
          <w:rFonts w:ascii="Times New Roman" w:hAnsi="Times New Roman" w:cs="Times New Roman"/>
        </w:rPr>
        <w:t>climate change related issues is an asset.</w:t>
      </w:r>
    </w:p>
    <w:p w:rsidR="00DA7670" w:rsidRPr="000E760C" w:rsidRDefault="00DA7670" w:rsidP="000E760C">
      <w:pPr>
        <w:pStyle w:val="Listeafsnit"/>
        <w:spacing w:after="120"/>
        <w:ind w:left="0"/>
        <w:jc w:val="both"/>
        <w:rPr>
          <w:rFonts w:ascii="Times New Roman" w:hAnsi="Times New Roman" w:cs="Times New Roman"/>
        </w:rPr>
      </w:pPr>
      <w:r w:rsidRPr="000E760C">
        <w:rPr>
          <w:rFonts w:ascii="Times New Roman" w:hAnsi="Times New Roman" w:cs="Times New Roman"/>
        </w:rPr>
        <w:t xml:space="preserve">              -   Knowledge about ICAT project phase 1</w:t>
      </w:r>
      <w:r w:rsidR="000E760C" w:rsidRPr="000E760C">
        <w:rPr>
          <w:rFonts w:ascii="Times New Roman" w:hAnsi="Times New Roman" w:cs="Times New Roman"/>
        </w:rPr>
        <w:t xml:space="preserve"> and series of Guidance notes</w:t>
      </w:r>
      <w:r w:rsidRPr="000E760C">
        <w:rPr>
          <w:rFonts w:ascii="Times New Roman" w:hAnsi="Times New Roman" w:cs="Times New Roman"/>
        </w:rPr>
        <w:t xml:space="preserve"> is an additional value for the applicant</w:t>
      </w:r>
    </w:p>
    <w:p w:rsidR="00DA7670" w:rsidRPr="000E760C" w:rsidRDefault="00DA7670" w:rsidP="00DA7670">
      <w:pPr>
        <w:autoSpaceDE w:val="0"/>
        <w:autoSpaceDN w:val="0"/>
        <w:adjustRightInd w:val="0"/>
        <w:spacing w:after="0" w:line="240" w:lineRule="auto"/>
        <w:rPr>
          <w:rFonts w:ascii="Times New Roman" w:hAnsi="Times New Roman" w:cs="Times New Roman"/>
          <w:b/>
          <w:bCs/>
        </w:rPr>
      </w:pPr>
      <w:r w:rsidRPr="000E760C">
        <w:rPr>
          <w:rFonts w:ascii="Times New Roman" w:hAnsi="Times New Roman" w:cs="Times New Roman"/>
          <w:b/>
          <w:bCs/>
        </w:rPr>
        <w:t>Languages</w:t>
      </w:r>
    </w:p>
    <w:p w:rsidR="00DA7670" w:rsidRPr="000E760C" w:rsidRDefault="000E760C" w:rsidP="00DA7670">
      <w:pPr>
        <w:pStyle w:val="Listeafsnit"/>
        <w:spacing w:after="120"/>
        <w:ind w:left="0"/>
        <w:jc w:val="both"/>
        <w:rPr>
          <w:rFonts w:ascii="Times New Roman" w:hAnsi="Times New Roman" w:cs="Times New Roman"/>
        </w:rPr>
      </w:pPr>
      <w:r w:rsidRPr="000E760C">
        <w:rPr>
          <w:rFonts w:ascii="Times New Roman" w:hAnsi="Times New Roman" w:cs="Times New Roman"/>
        </w:rPr>
        <w:t>F</w:t>
      </w:r>
      <w:r w:rsidR="00DA7670" w:rsidRPr="000E760C">
        <w:rPr>
          <w:rFonts w:ascii="Times New Roman" w:hAnsi="Times New Roman" w:cs="Times New Roman"/>
        </w:rPr>
        <w:t xml:space="preserve">luency in written and oral English is required. </w:t>
      </w:r>
    </w:p>
    <w:p w:rsidR="00DA7670" w:rsidRPr="000E760C" w:rsidRDefault="00DA7670" w:rsidP="00DA7670">
      <w:pPr>
        <w:pStyle w:val="Listeafsnit"/>
        <w:spacing w:after="120"/>
        <w:ind w:left="0"/>
        <w:jc w:val="both"/>
        <w:rPr>
          <w:rFonts w:ascii="Times New Roman" w:hAnsi="Times New Roman" w:cs="Times New Roman"/>
        </w:rPr>
      </w:pPr>
    </w:p>
    <w:p w:rsidR="00DA7670" w:rsidRPr="000E760C" w:rsidRDefault="00DA7670" w:rsidP="00DA7670">
      <w:pPr>
        <w:pStyle w:val="Listeafsnit"/>
        <w:spacing w:after="120"/>
        <w:ind w:left="0"/>
        <w:jc w:val="both"/>
        <w:rPr>
          <w:rFonts w:ascii="Times New Roman" w:hAnsi="Times New Roman" w:cs="Times New Roman"/>
        </w:rPr>
      </w:pPr>
      <w:r w:rsidRPr="000E760C">
        <w:rPr>
          <w:rFonts w:ascii="Times New Roman" w:hAnsi="Times New Roman" w:cs="Times New Roman"/>
          <w:b/>
          <w:bCs/>
        </w:rPr>
        <w:t>Application deadline</w:t>
      </w:r>
      <w:r w:rsidRPr="000E760C">
        <w:rPr>
          <w:rFonts w:ascii="Times New Roman" w:hAnsi="Times New Roman" w:cs="Times New Roman"/>
        </w:rPr>
        <w:t xml:space="preserve">: </w:t>
      </w:r>
      <w:r w:rsidR="00783CAF">
        <w:rPr>
          <w:rFonts w:ascii="Times New Roman" w:hAnsi="Times New Roman" w:cs="Times New Roman"/>
        </w:rPr>
        <w:t>2</w:t>
      </w:r>
      <w:r w:rsidR="009E07CC">
        <w:rPr>
          <w:rFonts w:ascii="Times New Roman" w:hAnsi="Times New Roman" w:cs="Times New Roman"/>
        </w:rPr>
        <w:t>3</w:t>
      </w:r>
      <w:r w:rsidR="00783CAF">
        <w:rPr>
          <w:rFonts w:ascii="Times New Roman" w:hAnsi="Times New Roman" w:cs="Times New Roman"/>
        </w:rPr>
        <w:t xml:space="preserve"> October </w:t>
      </w:r>
      <w:r w:rsidRPr="000E760C">
        <w:rPr>
          <w:rFonts w:ascii="Times New Roman" w:hAnsi="Times New Roman" w:cs="Times New Roman"/>
        </w:rPr>
        <w:t>2020</w:t>
      </w:r>
    </w:p>
    <w:p w:rsidR="00DA7670" w:rsidRPr="000E760C" w:rsidRDefault="00DA7670" w:rsidP="00DA7670">
      <w:pPr>
        <w:pStyle w:val="Listeafsnit"/>
        <w:spacing w:after="120"/>
        <w:ind w:left="0"/>
        <w:jc w:val="both"/>
        <w:rPr>
          <w:rFonts w:ascii="Times New Roman" w:hAnsi="Times New Roman" w:cs="Times New Roman"/>
        </w:rPr>
      </w:pPr>
    </w:p>
    <w:p w:rsidR="00DA7670" w:rsidRPr="000E760C" w:rsidRDefault="00DA7670" w:rsidP="00DA7670">
      <w:pPr>
        <w:pStyle w:val="Listeafsnit"/>
        <w:spacing w:after="120"/>
        <w:ind w:left="0"/>
        <w:jc w:val="both"/>
        <w:rPr>
          <w:rFonts w:ascii="Times New Roman" w:hAnsi="Times New Roman" w:cs="Times New Roman"/>
          <w:b/>
          <w:bCs/>
        </w:rPr>
      </w:pPr>
      <w:r w:rsidRPr="000E760C">
        <w:rPr>
          <w:rFonts w:ascii="Times New Roman" w:hAnsi="Times New Roman" w:cs="Times New Roman"/>
          <w:b/>
          <w:bCs/>
        </w:rPr>
        <w:t>Required documents:</w:t>
      </w:r>
    </w:p>
    <w:p w:rsidR="00DA7670" w:rsidRPr="000E760C" w:rsidRDefault="00DA7670" w:rsidP="00DA7670">
      <w:pPr>
        <w:pStyle w:val="Listeafsnit"/>
        <w:spacing w:after="120"/>
        <w:ind w:left="0"/>
        <w:jc w:val="both"/>
        <w:rPr>
          <w:rFonts w:ascii="Times New Roman" w:hAnsi="Times New Roman" w:cs="Times New Roman"/>
        </w:rPr>
      </w:pPr>
      <w:r w:rsidRPr="000E760C">
        <w:rPr>
          <w:rFonts w:ascii="Times New Roman" w:hAnsi="Times New Roman" w:cs="Times New Roman"/>
        </w:rPr>
        <w:t>-CV</w:t>
      </w:r>
    </w:p>
    <w:p w:rsidR="00DA7670" w:rsidRPr="000E760C" w:rsidRDefault="00DA7670" w:rsidP="00DA7670">
      <w:pPr>
        <w:pStyle w:val="Listeafsnit"/>
        <w:spacing w:after="120"/>
        <w:ind w:left="0"/>
        <w:jc w:val="both"/>
        <w:rPr>
          <w:rFonts w:ascii="Times New Roman" w:hAnsi="Times New Roman" w:cs="Times New Roman"/>
        </w:rPr>
      </w:pPr>
      <w:r w:rsidRPr="000E760C">
        <w:rPr>
          <w:rFonts w:ascii="Times New Roman" w:hAnsi="Times New Roman" w:cs="Times New Roman"/>
        </w:rPr>
        <w:t xml:space="preserve">- A </w:t>
      </w:r>
      <w:proofErr w:type="gramStart"/>
      <w:r w:rsidRPr="000E760C">
        <w:rPr>
          <w:rFonts w:ascii="Times New Roman" w:hAnsi="Times New Roman" w:cs="Times New Roman"/>
        </w:rPr>
        <w:t>description  of</w:t>
      </w:r>
      <w:proofErr w:type="gramEnd"/>
      <w:r w:rsidRPr="000E760C">
        <w:rPr>
          <w:rFonts w:ascii="Times New Roman" w:hAnsi="Times New Roman" w:cs="Times New Roman"/>
        </w:rPr>
        <w:t xml:space="preserve"> the approach that the consultant would take to cover the tasks mentioned above </w:t>
      </w:r>
    </w:p>
    <w:p w:rsidR="00DA7670" w:rsidRPr="000E760C" w:rsidRDefault="00DA7670" w:rsidP="000E760C">
      <w:pPr>
        <w:autoSpaceDE w:val="0"/>
        <w:autoSpaceDN w:val="0"/>
        <w:adjustRightInd w:val="0"/>
        <w:spacing w:after="0" w:line="240" w:lineRule="auto"/>
        <w:rPr>
          <w:rFonts w:ascii="Times New Roman" w:hAnsi="Times New Roman" w:cs="Times New Roman"/>
          <w:b/>
          <w:bCs/>
        </w:rPr>
      </w:pPr>
      <w:r w:rsidRPr="000E760C">
        <w:rPr>
          <w:rFonts w:ascii="Times New Roman" w:hAnsi="Times New Roman" w:cs="Times New Roman"/>
          <w:b/>
          <w:bCs/>
        </w:rPr>
        <w:t xml:space="preserve">To apply for this position, please email </w:t>
      </w:r>
      <w:r w:rsidR="00783CAF">
        <w:rPr>
          <w:rFonts w:ascii="Times New Roman" w:hAnsi="Times New Roman" w:cs="Times New Roman"/>
          <w:b/>
          <w:bCs/>
        </w:rPr>
        <w:t>Karen Holm Olsen</w:t>
      </w:r>
      <w:r w:rsidRPr="000E760C">
        <w:rPr>
          <w:rFonts w:ascii="Times New Roman" w:hAnsi="Times New Roman" w:cs="Times New Roman"/>
          <w:b/>
          <w:bCs/>
        </w:rPr>
        <w:t xml:space="preserve"> at</w:t>
      </w:r>
      <w:r w:rsidR="00783CAF">
        <w:rPr>
          <w:rFonts w:ascii="Times New Roman" w:hAnsi="Times New Roman" w:cs="Times New Roman"/>
          <w:b/>
          <w:bCs/>
        </w:rPr>
        <w:t xml:space="preserve"> </w:t>
      </w:r>
      <w:hyperlink r:id="rId8" w:history="1">
        <w:r w:rsidR="00783CAF" w:rsidRPr="00C14CE2">
          <w:rPr>
            <w:rStyle w:val="Hyperlink"/>
            <w:rFonts w:ascii="Times New Roman" w:hAnsi="Times New Roman" w:cs="Times New Roman"/>
            <w:b/>
            <w:bCs/>
          </w:rPr>
          <w:t>kaol@dtu.dk</w:t>
        </w:r>
      </w:hyperlink>
      <w:r w:rsidR="00783CAF">
        <w:rPr>
          <w:rFonts w:ascii="Times New Roman" w:hAnsi="Times New Roman" w:cs="Times New Roman"/>
          <w:b/>
          <w:bCs/>
        </w:rPr>
        <w:t xml:space="preserve"> </w:t>
      </w:r>
    </w:p>
    <w:p w:rsidR="00DA7670" w:rsidRPr="000E760C" w:rsidRDefault="00DA7670" w:rsidP="00DA7670">
      <w:pPr>
        <w:pStyle w:val="Listeafsnit"/>
        <w:spacing w:after="120"/>
        <w:ind w:left="0"/>
        <w:jc w:val="both"/>
        <w:rPr>
          <w:rFonts w:ascii="Times New Roman" w:hAnsi="Times New Roman" w:cs="Times New Roman"/>
          <w:b/>
        </w:rPr>
      </w:pPr>
    </w:p>
    <w:p w:rsidR="00DA7670" w:rsidRPr="000E760C" w:rsidRDefault="00DA7670">
      <w:pPr>
        <w:rPr>
          <w:rFonts w:ascii="Times New Roman" w:hAnsi="Times New Roman" w:cs="Times New Roman"/>
        </w:rPr>
      </w:pPr>
    </w:p>
    <w:sectPr w:rsidR="00DA7670" w:rsidRPr="000E76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17kwn,Bold">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F246A"/>
    <w:multiLevelType w:val="hybridMultilevel"/>
    <w:tmpl w:val="559A53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0A7F85"/>
    <w:multiLevelType w:val="hybridMultilevel"/>
    <w:tmpl w:val="AF82BCAE"/>
    <w:lvl w:ilvl="0" w:tplc="363877A6">
      <w:start w:val="30"/>
      <w:numFmt w:val="bullet"/>
      <w:lvlText w:val="-"/>
      <w:lvlJc w:val="left"/>
      <w:pPr>
        <w:ind w:left="720" w:hanging="360"/>
      </w:pPr>
      <w:rPr>
        <w:rFonts w:ascii="17kwn,Bold" w:eastAsiaTheme="minorHAnsi" w:hAnsi="17kwn,Bold" w:cs="17kwn,Bold"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315BE1"/>
    <w:multiLevelType w:val="hybridMultilevel"/>
    <w:tmpl w:val="4012754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NjOzMDAxtjS2tDBV0lEKTi0uzszPAykwrAUAtWu88SwAAAA="/>
  </w:docVars>
  <w:rsids>
    <w:rsidRoot w:val="00EE01AA"/>
    <w:rsid w:val="000B3631"/>
    <w:rsid w:val="000E760C"/>
    <w:rsid w:val="00263514"/>
    <w:rsid w:val="00355568"/>
    <w:rsid w:val="004139FF"/>
    <w:rsid w:val="004776EE"/>
    <w:rsid w:val="005D55AB"/>
    <w:rsid w:val="00636576"/>
    <w:rsid w:val="00653E0C"/>
    <w:rsid w:val="00740247"/>
    <w:rsid w:val="00783CAF"/>
    <w:rsid w:val="00802CFE"/>
    <w:rsid w:val="00845279"/>
    <w:rsid w:val="009E07CC"/>
    <w:rsid w:val="00A713CB"/>
    <w:rsid w:val="00A83869"/>
    <w:rsid w:val="00B52EF2"/>
    <w:rsid w:val="00B55351"/>
    <w:rsid w:val="00D57D64"/>
    <w:rsid w:val="00DA03E8"/>
    <w:rsid w:val="00DA7670"/>
    <w:rsid w:val="00E6371D"/>
    <w:rsid w:val="00EE01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D386A-AC12-4FBF-8EE5-2BAD1C04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52EF2"/>
    <w:rPr>
      <w:color w:val="0563C1" w:themeColor="hyperlink"/>
      <w:u w:val="single"/>
    </w:rPr>
  </w:style>
  <w:style w:type="paragraph" w:customStyle="1" w:styleId="t27">
    <w:name w:val="t27"/>
    <w:basedOn w:val="Normal"/>
    <w:rsid w:val="0026351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Listeafsnit">
    <w:name w:val="List Paragraph"/>
    <w:basedOn w:val="Normal"/>
    <w:uiPriority w:val="34"/>
    <w:qFormat/>
    <w:rsid w:val="00D57D64"/>
    <w:pPr>
      <w:spacing w:after="200" w:line="276" w:lineRule="auto"/>
      <w:ind w:left="720"/>
      <w:contextualSpacing/>
    </w:pPr>
    <w:rPr>
      <w:rFonts w:eastAsiaTheme="minorEastAsia"/>
      <w:lang w:eastAsia="da-DK"/>
    </w:rPr>
  </w:style>
  <w:style w:type="paragraph" w:styleId="Kommentartekst">
    <w:name w:val="annotation text"/>
    <w:basedOn w:val="Normal"/>
    <w:link w:val="KommentartekstTegn"/>
    <w:uiPriority w:val="99"/>
    <w:semiHidden/>
    <w:unhideWhenUsed/>
    <w:rsid w:val="00DA7670"/>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DA7670"/>
    <w:rPr>
      <w:sz w:val="20"/>
      <w:szCs w:val="20"/>
    </w:rPr>
  </w:style>
  <w:style w:type="character" w:styleId="BesgtLink">
    <w:name w:val="FollowedHyperlink"/>
    <w:basedOn w:val="Standardskrifttypeiafsnit"/>
    <w:uiPriority w:val="99"/>
    <w:semiHidden/>
    <w:unhideWhenUsed/>
    <w:rsid w:val="006365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ol@dtu.dk" TargetMode="External"/><Relationship Id="rId3" Type="http://schemas.openxmlformats.org/officeDocument/2006/relationships/settings" Target="settings.xml"/><Relationship Id="rId7" Type="http://schemas.openxmlformats.org/officeDocument/2006/relationships/hyperlink" Target="https://climateactiontransparency.org/icat-toolb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mateactiontransparency.org/wp-content/uploads/2019/11/ICAT-Adopted-long-term-work-programme-3.pdf" TargetMode="External"/><Relationship Id="rId5" Type="http://schemas.openxmlformats.org/officeDocument/2006/relationships/hyperlink" Target="https://climateactiontransparency.org/wp-content/uploads/2019/11/ICAT-Strateg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932</Words>
  <Characters>4735</Characters>
  <Application>Microsoft Office Word</Application>
  <DocSecurity>0</DocSecurity>
  <Lines>81</Lines>
  <Paragraphs>24</Paragraphs>
  <ScaleCrop>false</ScaleCrop>
  <HeadingPairs>
    <vt:vector size="2" baseType="variant">
      <vt:variant>
        <vt:lpstr>Title</vt:lpstr>
      </vt:variant>
      <vt:variant>
        <vt:i4>1</vt:i4>
      </vt:variant>
    </vt:vector>
  </HeadingPairs>
  <TitlesOfParts>
    <vt:vector size="1" baseType="lpstr">
      <vt:lpstr/>
    </vt:vector>
  </TitlesOfParts>
  <Company>DTU</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Bakhtiari</dc:creator>
  <cp:keywords/>
  <dc:description/>
  <cp:lastModifiedBy>Monna Hammershøy Blegvad</cp:lastModifiedBy>
  <cp:revision>2</cp:revision>
  <dcterms:created xsi:type="dcterms:W3CDTF">2020-10-09T13:25:00Z</dcterms:created>
  <dcterms:modified xsi:type="dcterms:W3CDTF">2020-10-09T13:25:00Z</dcterms:modified>
</cp:coreProperties>
</file>