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E041" w14:textId="77777777" w:rsidR="008A07B8" w:rsidRPr="0006571C" w:rsidRDefault="008A07B8" w:rsidP="002C7B5C">
      <w:pPr>
        <w:pStyle w:val="BodyText"/>
        <w:spacing w:line="276" w:lineRule="auto"/>
        <w:jc w:val="both"/>
        <w:rPr>
          <w:rFonts w:asciiTheme="minorHAnsi" w:hAnsiTheme="minorHAnsi" w:cstheme="minorHAnsi"/>
          <w:sz w:val="22"/>
          <w:szCs w:val="22"/>
          <w:lang w:val="en-GB" w:eastAsia="da-DK"/>
        </w:rPr>
      </w:pPr>
    </w:p>
    <w:p w14:paraId="75700875" w14:textId="77777777" w:rsidR="008A07B8" w:rsidRPr="0006571C" w:rsidRDefault="008A07B8" w:rsidP="002C7B5C">
      <w:pPr>
        <w:pStyle w:val="BodyText"/>
        <w:spacing w:line="276" w:lineRule="auto"/>
        <w:jc w:val="both"/>
        <w:rPr>
          <w:rFonts w:asciiTheme="minorHAnsi" w:hAnsiTheme="minorHAnsi" w:cstheme="minorHAnsi"/>
          <w:sz w:val="22"/>
          <w:szCs w:val="22"/>
          <w:lang w:val="en-GB"/>
        </w:rPr>
      </w:pPr>
    </w:p>
    <w:p w14:paraId="6601719A" w14:textId="77777777" w:rsidR="00ED72BB" w:rsidRPr="0006571C" w:rsidRDefault="00ED72BB" w:rsidP="002C7B5C">
      <w:pPr>
        <w:spacing w:before="51" w:line="276" w:lineRule="auto"/>
        <w:ind w:left="4806" w:right="3709"/>
        <w:jc w:val="both"/>
        <w:rPr>
          <w:rFonts w:asciiTheme="minorHAnsi" w:eastAsia="Arial" w:hAnsiTheme="minorHAnsi" w:cstheme="minorHAnsi"/>
          <w:sz w:val="22"/>
          <w:szCs w:val="22"/>
        </w:rPr>
      </w:pPr>
    </w:p>
    <w:p w14:paraId="60701FF2" w14:textId="77777777" w:rsidR="00E20831" w:rsidRPr="0006571C" w:rsidRDefault="00E20831" w:rsidP="00E20831">
      <w:pPr>
        <w:spacing w:before="15" w:line="276" w:lineRule="auto"/>
        <w:jc w:val="center"/>
        <w:rPr>
          <w:rFonts w:asciiTheme="minorHAnsi" w:hAnsiTheme="minorHAnsi" w:cstheme="minorHAnsi"/>
          <w:b/>
          <w:spacing w:val="6"/>
        </w:rPr>
      </w:pPr>
      <w:r w:rsidRPr="0006571C">
        <w:rPr>
          <w:rFonts w:asciiTheme="minorHAnsi" w:hAnsiTheme="minorHAnsi" w:cstheme="minorHAnsi"/>
          <w:b/>
          <w:spacing w:val="6"/>
        </w:rPr>
        <w:t xml:space="preserve">Appendix 1: Terms of Reference for International Expert Consultant </w:t>
      </w:r>
    </w:p>
    <w:p w14:paraId="4886828C" w14:textId="096ECC4F" w:rsidR="008A07B8" w:rsidRPr="0006571C" w:rsidRDefault="002F1397" w:rsidP="00E20831">
      <w:pPr>
        <w:spacing w:before="15" w:line="276" w:lineRule="auto"/>
        <w:jc w:val="center"/>
        <w:rPr>
          <w:rFonts w:asciiTheme="minorHAnsi" w:hAnsiTheme="minorHAnsi" w:cstheme="minorHAnsi"/>
          <w:b/>
          <w:spacing w:val="6"/>
        </w:rPr>
      </w:pPr>
      <w:r>
        <w:rPr>
          <w:rFonts w:asciiTheme="minorHAnsi" w:hAnsiTheme="minorHAnsi" w:cstheme="minorHAnsi"/>
          <w:b/>
          <w:spacing w:val="6"/>
        </w:rPr>
        <w:t>(</w:t>
      </w:r>
      <w:r w:rsidR="00E20831" w:rsidRPr="0006571C">
        <w:rPr>
          <w:rFonts w:asciiTheme="minorHAnsi" w:hAnsiTheme="minorHAnsi" w:cstheme="minorHAnsi"/>
          <w:b/>
          <w:spacing w:val="6"/>
        </w:rPr>
        <w:t>Mitigation Expert)</w:t>
      </w:r>
    </w:p>
    <w:p w14:paraId="6B4B0375" w14:textId="77777777" w:rsidR="00E20831" w:rsidRPr="0006571C" w:rsidRDefault="00E20831" w:rsidP="00E20831">
      <w:pPr>
        <w:spacing w:before="15" w:line="276" w:lineRule="auto"/>
        <w:jc w:val="center"/>
        <w:rPr>
          <w:rFonts w:asciiTheme="minorHAnsi" w:hAnsiTheme="minorHAnsi" w:cstheme="minorHAnsi"/>
          <w:b/>
          <w:spacing w:val="6"/>
        </w:rPr>
      </w:pPr>
      <w:r w:rsidRPr="0006571C">
        <w:rPr>
          <w:rFonts w:asciiTheme="minorHAnsi" w:hAnsiTheme="minorHAnsi" w:cstheme="minorHAnsi"/>
          <w:b/>
          <w:spacing w:val="6"/>
        </w:rPr>
        <w:t>Technology Needs Assessment for the Kyrgyz Republic</w:t>
      </w:r>
    </w:p>
    <w:p w14:paraId="37D08E19" w14:textId="77777777" w:rsidR="00E20831" w:rsidRPr="0006571C" w:rsidRDefault="00E20831" w:rsidP="002C7B5C">
      <w:pPr>
        <w:spacing w:before="15" w:line="276" w:lineRule="auto"/>
        <w:jc w:val="both"/>
        <w:rPr>
          <w:rFonts w:asciiTheme="minorHAnsi" w:hAnsiTheme="minorHAnsi" w:cstheme="minorHAnsi"/>
          <w:sz w:val="22"/>
          <w:szCs w:val="22"/>
        </w:rPr>
      </w:pPr>
    </w:p>
    <w:p w14:paraId="56E832D1" w14:textId="77777777" w:rsidR="00ED72BB" w:rsidRPr="0006571C" w:rsidRDefault="00ED72BB" w:rsidP="002C7B5C">
      <w:pPr>
        <w:spacing w:line="276" w:lineRule="auto"/>
        <w:jc w:val="both"/>
        <w:rPr>
          <w:rFonts w:asciiTheme="minorHAnsi" w:hAnsiTheme="minorHAnsi" w:cstheme="minorHAnsi"/>
          <w:b/>
          <w:color w:val="181818"/>
          <w:sz w:val="22"/>
          <w:szCs w:val="22"/>
        </w:rPr>
      </w:pPr>
      <w:r w:rsidRPr="0006571C">
        <w:rPr>
          <w:rFonts w:asciiTheme="minorHAnsi" w:hAnsiTheme="minorHAnsi" w:cstheme="minorHAnsi"/>
          <w:b/>
          <w:color w:val="181818"/>
          <w:sz w:val="22"/>
          <w:szCs w:val="22"/>
        </w:rPr>
        <w:t>Background</w:t>
      </w:r>
    </w:p>
    <w:p w14:paraId="24F25EAF" w14:textId="7F35BF06" w:rsidR="008A07B8" w:rsidRPr="0006571C" w:rsidRDefault="00E20831" w:rsidP="002C7B5C">
      <w:pPr>
        <w:spacing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The purpose of the TNA project is to assist the Kyrgyz Republic update its Technology Needs Assessment (TNA) and develop a technology road map for prioritized technologies to address climate change challenges in the most critical sectors of the economy. TNAs are central to the work of Parties to the Convention on technology transfer and present an opportunity to track an evolving need for new equipment, techniques, practical knowledge and skills, which are necessary to mitigate GHG emissions and/or reduce the vulnerability of sectors and livelihoods to the adverse impacts of climate change.</w:t>
      </w:r>
      <w:r w:rsidR="00AD2B0A">
        <w:rPr>
          <w:rFonts w:asciiTheme="minorHAnsi" w:hAnsiTheme="minorHAnsi" w:cstheme="minorHAnsi"/>
          <w:color w:val="181818"/>
          <w:sz w:val="22"/>
          <w:szCs w:val="22"/>
        </w:rPr>
        <w:t xml:space="preserve"> </w:t>
      </w:r>
      <w:r w:rsidR="00AD2B0A">
        <w:rPr>
          <w:rFonts w:asciiTheme="minorHAnsi" w:eastAsia="Arial" w:hAnsiTheme="minorHAnsi" w:cstheme="minorHAnsi"/>
          <w:sz w:val="22"/>
          <w:szCs w:val="22"/>
        </w:rPr>
        <w:t xml:space="preserve">As per agreement with the Government of the </w:t>
      </w:r>
      <w:r w:rsidR="00AD2B0A" w:rsidRPr="0006571C">
        <w:rPr>
          <w:rFonts w:asciiTheme="minorHAnsi" w:hAnsiTheme="minorHAnsi" w:cstheme="minorHAnsi"/>
          <w:color w:val="181818"/>
          <w:sz w:val="22"/>
          <w:szCs w:val="22"/>
        </w:rPr>
        <w:t>Kyrgyz Republic</w:t>
      </w:r>
      <w:r w:rsidR="00AD2B0A">
        <w:rPr>
          <w:rFonts w:asciiTheme="minorHAnsi" w:hAnsiTheme="minorHAnsi" w:cstheme="minorHAnsi"/>
          <w:color w:val="181818"/>
          <w:sz w:val="22"/>
          <w:szCs w:val="22"/>
        </w:rPr>
        <w:t>, this TNA project will focus on four (4) broad priority sectors: agriculture, water, waste and energy.</w:t>
      </w:r>
      <w:r w:rsidRPr="0006571C">
        <w:rPr>
          <w:rFonts w:asciiTheme="minorHAnsi" w:hAnsiTheme="minorHAnsi" w:cstheme="minorHAnsi"/>
          <w:color w:val="181818"/>
          <w:sz w:val="22"/>
          <w:szCs w:val="22"/>
        </w:rPr>
        <w:t xml:space="preserve"> The project will work toward achieving the following four outcomes:</w:t>
      </w:r>
    </w:p>
    <w:p w14:paraId="0127227D" w14:textId="77777777" w:rsidR="00E20831" w:rsidRPr="0006571C" w:rsidRDefault="00E20831" w:rsidP="002C7B5C">
      <w:pPr>
        <w:spacing w:line="276" w:lineRule="auto"/>
        <w:jc w:val="both"/>
        <w:rPr>
          <w:rFonts w:asciiTheme="minorHAnsi" w:eastAsia="Arial" w:hAnsiTheme="minorHAnsi" w:cstheme="minorHAnsi"/>
          <w:sz w:val="22"/>
          <w:szCs w:val="22"/>
        </w:rPr>
      </w:pPr>
    </w:p>
    <w:p w14:paraId="5562D0C1" w14:textId="77777777" w:rsidR="00E20831" w:rsidRPr="0006571C" w:rsidRDefault="00E20831" w:rsidP="00E20831">
      <w:pPr>
        <w:pStyle w:val="ListParagraph"/>
        <w:numPr>
          <w:ilvl w:val="0"/>
          <w:numId w:val="17"/>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Outcome 1: Relevant country stakeholders have established adequate capacity, systems, and networks to support the planning, programming, and implementation of GCF-funded activities</w:t>
      </w:r>
    </w:p>
    <w:p w14:paraId="4AEF508F" w14:textId="77777777" w:rsidR="00145412" w:rsidRPr="0006571C" w:rsidRDefault="00145412" w:rsidP="00145412">
      <w:pPr>
        <w:pStyle w:val="ListParagraph"/>
        <w:spacing w:line="276" w:lineRule="auto"/>
        <w:jc w:val="both"/>
        <w:rPr>
          <w:rFonts w:asciiTheme="minorHAnsi" w:eastAsia="Arial" w:hAnsiTheme="minorHAnsi" w:cstheme="minorHAnsi"/>
          <w:sz w:val="22"/>
          <w:szCs w:val="22"/>
        </w:rPr>
      </w:pPr>
    </w:p>
    <w:p w14:paraId="59F25816" w14:textId="77777777" w:rsidR="00E20831" w:rsidRPr="0006571C" w:rsidRDefault="00E20831" w:rsidP="00E20831">
      <w:pPr>
        <w:pStyle w:val="ListParagraph"/>
        <w:numPr>
          <w:ilvl w:val="0"/>
          <w:numId w:val="17"/>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Outcome 2: the Kyrgyz Republic has developed or enhanced strategic frameworks to address policy gaps, improve sectoral expertise, and enhance enabling environments for GCF programming in low emission investment</w:t>
      </w:r>
    </w:p>
    <w:p w14:paraId="412A318A" w14:textId="77777777" w:rsidR="00145412" w:rsidRPr="0006571C" w:rsidRDefault="00145412" w:rsidP="00145412">
      <w:pPr>
        <w:pStyle w:val="ListParagraph"/>
        <w:spacing w:line="276" w:lineRule="auto"/>
        <w:jc w:val="both"/>
        <w:rPr>
          <w:rFonts w:asciiTheme="minorHAnsi" w:eastAsia="Arial" w:hAnsiTheme="minorHAnsi" w:cstheme="minorHAnsi"/>
          <w:sz w:val="22"/>
          <w:szCs w:val="22"/>
        </w:rPr>
      </w:pPr>
    </w:p>
    <w:p w14:paraId="0ABB440B" w14:textId="77777777" w:rsidR="00E20831" w:rsidRPr="0006571C" w:rsidRDefault="00E20831" w:rsidP="00E20831">
      <w:pPr>
        <w:pStyle w:val="ListParagraph"/>
        <w:numPr>
          <w:ilvl w:val="0"/>
          <w:numId w:val="17"/>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Outcome 3: Strategies for transforming and attracting private sector investment for low emissions and resilience developed and being used</w:t>
      </w:r>
    </w:p>
    <w:p w14:paraId="4D2E035B" w14:textId="77777777" w:rsidR="00145412" w:rsidRPr="0006571C" w:rsidRDefault="00145412" w:rsidP="003B3CB7">
      <w:pPr>
        <w:spacing w:line="276" w:lineRule="auto"/>
        <w:jc w:val="both"/>
        <w:rPr>
          <w:rFonts w:asciiTheme="minorHAnsi" w:eastAsia="Arial" w:hAnsiTheme="minorHAnsi" w:cstheme="minorHAnsi"/>
          <w:sz w:val="22"/>
          <w:szCs w:val="22"/>
        </w:rPr>
      </w:pPr>
    </w:p>
    <w:p w14:paraId="79439E16" w14:textId="77777777" w:rsidR="00E20831" w:rsidRPr="0006571C" w:rsidRDefault="00E20831" w:rsidP="00E20831">
      <w:pPr>
        <w:pStyle w:val="ListParagraph"/>
        <w:numPr>
          <w:ilvl w:val="0"/>
          <w:numId w:val="17"/>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Outcome 4: An increase in the number of quality project concept notes developed and submitted</w:t>
      </w:r>
    </w:p>
    <w:p w14:paraId="32149EA4" w14:textId="502CAB49" w:rsidR="00E20831" w:rsidRDefault="00E20831" w:rsidP="002C7B5C">
      <w:pPr>
        <w:spacing w:line="276" w:lineRule="auto"/>
        <w:jc w:val="both"/>
        <w:rPr>
          <w:rFonts w:asciiTheme="minorHAnsi" w:eastAsia="Arial" w:hAnsiTheme="minorHAnsi" w:cstheme="minorHAnsi"/>
          <w:sz w:val="22"/>
          <w:szCs w:val="22"/>
        </w:rPr>
      </w:pPr>
    </w:p>
    <w:p w14:paraId="5C16BBBD" w14:textId="77777777" w:rsidR="00E20831" w:rsidRPr="0006571C" w:rsidRDefault="00E20831" w:rsidP="002C7B5C">
      <w:p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 xml:space="preserve">These outcomes </w:t>
      </w:r>
      <w:proofErr w:type="gramStart"/>
      <w:r w:rsidRPr="0006571C">
        <w:rPr>
          <w:rFonts w:asciiTheme="minorHAnsi" w:eastAsia="Arial" w:hAnsiTheme="minorHAnsi" w:cstheme="minorHAnsi"/>
          <w:sz w:val="22"/>
          <w:szCs w:val="22"/>
        </w:rPr>
        <w:t>will be achieved</w:t>
      </w:r>
      <w:proofErr w:type="gramEnd"/>
      <w:r w:rsidRPr="0006571C">
        <w:rPr>
          <w:rFonts w:asciiTheme="minorHAnsi" w:eastAsia="Arial" w:hAnsiTheme="minorHAnsi" w:cstheme="minorHAnsi"/>
          <w:sz w:val="22"/>
          <w:szCs w:val="22"/>
        </w:rPr>
        <w:t xml:space="preserve"> by providing support to:</w:t>
      </w:r>
    </w:p>
    <w:p w14:paraId="6F2D2A68" w14:textId="77777777" w:rsidR="00E20831" w:rsidRPr="0006571C" w:rsidRDefault="00E20831" w:rsidP="002C7B5C">
      <w:pPr>
        <w:spacing w:line="276" w:lineRule="auto"/>
        <w:jc w:val="both"/>
        <w:rPr>
          <w:rFonts w:asciiTheme="minorHAnsi" w:eastAsia="Arial" w:hAnsiTheme="minorHAnsi" w:cstheme="minorHAnsi"/>
          <w:sz w:val="22"/>
          <w:szCs w:val="22"/>
        </w:rPr>
      </w:pPr>
    </w:p>
    <w:p w14:paraId="32C0D570" w14:textId="61527C80" w:rsidR="00E20831" w:rsidRPr="0006571C" w:rsidRDefault="00E20831" w:rsidP="00E20831">
      <w:pPr>
        <w:pStyle w:val="ListParagraph"/>
        <w:numPr>
          <w:ilvl w:val="0"/>
          <w:numId w:val="16"/>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Identify and prioritize through country-driven participatory processes, technologies that can contribute to mitigation and adaptation goals of the participant countries, while meeting their national sustainable development goals and priorities. This will result in the delivery of a report on technology needs</w:t>
      </w:r>
      <w:r w:rsidR="00286C90">
        <w:rPr>
          <w:rFonts w:asciiTheme="minorHAnsi" w:eastAsia="Arial" w:hAnsiTheme="minorHAnsi" w:cstheme="minorHAnsi"/>
          <w:sz w:val="22"/>
          <w:szCs w:val="22"/>
        </w:rPr>
        <w:t xml:space="preserve"> ("TNA Report")</w:t>
      </w:r>
      <w:r w:rsidRPr="0006571C">
        <w:rPr>
          <w:rFonts w:asciiTheme="minorHAnsi" w:eastAsia="Arial" w:hAnsiTheme="minorHAnsi" w:cstheme="minorHAnsi"/>
          <w:sz w:val="22"/>
          <w:szCs w:val="22"/>
        </w:rPr>
        <w:t xml:space="preserve">. </w:t>
      </w:r>
    </w:p>
    <w:p w14:paraId="2AC8F4B1" w14:textId="77777777" w:rsidR="00E20831" w:rsidRPr="0006571C" w:rsidRDefault="00E20831" w:rsidP="00E20831">
      <w:pPr>
        <w:spacing w:line="276" w:lineRule="auto"/>
        <w:jc w:val="both"/>
        <w:rPr>
          <w:rFonts w:asciiTheme="minorHAnsi" w:eastAsia="Arial" w:hAnsiTheme="minorHAnsi" w:cstheme="minorHAnsi"/>
          <w:sz w:val="22"/>
          <w:szCs w:val="22"/>
        </w:rPr>
      </w:pPr>
    </w:p>
    <w:p w14:paraId="7A5FFD51" w14:textId="77777777" w:rsidR="00E20831" w:rsidRPr="0006571C" w:rsidRDefault="00E20831" w:rsidP="00E20831">
      <w:pPr>
        <w:pStyle w:val="ListParagraph"/>
        <w:numPr>
          <w:ilvl w:val="0"/>
          <w:numId w:val="16"/>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Identify barriers hindering the acquisition, deployment, and diffusion of prioritized technologies. This will result in the delivery of a barrier analysis report.</w:t>
      </w:r>
    </w:p>
    <w:p w14:paraId="4F861685" w14:textId="77777777" w:rsidR="00E20831" w:rsidRPr="0006571C" w:rsidRDefault="00E20831" w:rsidP="00E20831">
      <w:pPr>
        <w:spacing w:line="276" w:lineRule="auto"/>
        <w:jc w:val="both"/>
        <w:rPr>
          <w:rFonts w:asciiTheme="minorHAnsi" w:eastAsia="Arial" w:hAnsiTheme="minorHAnsi" w:cstheme="minorHAnsi"/>
          <w:sz w:val="22"/>
          <w:szCs w:val="22"/>
        </w:rPr>
      </w:pPr>
    </w:p>
    <w:p w14:paraId="661ABD29" w14:textId="77777777" w:rsidR="00256772" w:rsidRPr="0006571C" w:rsidRDefault="00E20831" w:rsidP="00256772">
      <w:pPr>
        <w:pStyle w:val="ListParagraph"/>
        <w:numPr>
          <w:ilvl w:val="0"/>
          <w:numId w:val="16"/>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 xml:space="preserve">Develop Technology Action Plans (TAP) including </w:t>
      </w:r>
      <w:r w:rsidR="002E7262" w:rsidRPr="0006571C">
        <w:rPr>
          <w:rFonts w:asciiTheme="minorHAnsi" w:eastAsia="Arial" w:hAnsiTheme="minorHAnsi" w:cstheme="minorHAnsi"/>
          <w:sz w:val="22"/>
          <w:szCs w:val="22"/>
        </w:rPr>
        <w:t>barrier analysis report to</w:t>
      </w:r>
      <w:r w:rsidRPr="0006571C">
        <w:rPr>
          <w:rFonts w:asciiTheme="minorHAnsi" w:eastAsia="Arial" w:hAnsiTheme="minorHAnsi" w:cstheme="minorHAnsi"/>
          <w:sz w:val="22"/>
          <w:szCs w:val="22"/>
        </w:rPr>
        <w:t xml:space="preserve"> facilitate the transfer, adoption, and diffusion of selected te</w:t>
      </w:r>
      <w:r w:rsidR="002E7262" w:rsidRPr="0006571C">
        <w:rPr>
          <w:rFonts w:asciiTheme="minorHAnsi" w:eastAsia="Arial" w:hAnsiTheme="minorHAnsi" w:cstheme="minorHAnsi"/>
          <w:sz w:val="22"/>
          <w:szCs w:val="22"/>
        </w:rPr>
        <w:t>chnologies in the participating country</w:t>
      </w:r>
      <w:r w:rsidRPr="0006571C">
        <w:rPr>
          <w:rFonts w:asciiTheme="minorHAnsi" w:eastAsia="Arial" w:hAnsiTheme="minorHAnsi" w:cstheme="minorHAnsi"/>
          <w:sz w:val="22"/>
          <w:szCs w:val="22"/>
        </w:rPr>
        <w:t>.</w:t>
      </w:r>
    </w:p>
    <w:p w14:paraId="2AD7CDB9" w14:textId="77777777" w:rsidR="00256772" w:rsidRPr="0006571C" w:rsidRDefault="00256772" w:rsidP="00256772">
      <w:pPr>
        <w:pStyle w:val="ListParagraph"/>
        <w:rPr>
          <w:rFonts w:asciiTheme="minorHAnsi" w:eastAsia="Arial" w:hAnsiTheme="minorHAnsi" w:cstheme="minorHAnsi"/>
          <w:sz w:val="22"/>
          <w:szCs w:val="22"/>
        </w:rPr>
      </w:pPr>
    </w:p>
    <w:p w14:paraId="33FC0767" w14:textId="45B156B2" w:rsidR="00256772" w:rsidRPr="00481B75" w:rsidRDefault="00256772" w:rsidP="00256772">
      <w:pPr>
        <w:pStyle w:val="ListParagraph"/>
        <w:numPr>
          <w:ilvl w:val="0"/>
          <w:numId w:val="16"/>
        </w:numPr>
        <w:spacing w:line="276" w:lineRule="auto"/>
        <w:jc w:val="both"/>
        <w:rPr>
          <w:rFonts w:asciiTheme="minorHAnsi" w:eastAsia="Arial" w:hAnsiTheme="minorHAnsi" w:cstheme="minorHAnsi"/>
          <w:sz w:val="22"/>
          <w:szCs w:val="22"/>
        </w:rPr>
      </w:pPr>
      <w:r w:rsidRPr="00481B75">
        <w:rPr>
          <w:rFonts w:asciiTheme="minorHAnsi" w:eastAsia="Arial" w:hAnsiTheme="minorHAnsi" w:cstheme="minorHAnsi"/>
          <w:sz w:val="22"/>
          <w:szCs w:val="22"/>
        </w:rPr>
        <w:lastRenderedPageBreak/>
        <w:t>Prepare three GCF concept notes</w:t>
      </w:r>
      <w:r w:rsidR="00BE70E3" w:rsidRPr="00481B75">
        <w:rPr>
          <w:rFonts w:asciiTheme="minorHAnsi" w:eastAsia="Arial" w:hAnsiTheme="minorHAnsi" w:cstheme="minorHAnsi"/>
          <w:sz w:val="22"/>
          <w:szCs w:val="22"/>
        </w:rPr>
        <w:t xml:space="preserve"> (CN</w:t>
      </w:r>
      <w:r w:rsidR="00ED5195" w:rsidRPr="00481B75">
        <w:rPr>
          <w:rFonts w:asciiTheme="minorHAnsi" w:eastAsia="Arial" w:hAnsiTheme="minorHAnsi" w:cstheme="minorHAnsi"/>
          <w:sz w:val="22"/>
          <w:szCs w:val="22"/>
        </w:rPr>
        <w:t>s</w:t>
      </w:r>
      <w:r w:rsidR="00BE70E3" w:rsidRPr="00481B75">
        <w:rPr>
          <w:rFonts w:asciiTheme="minorHAnsi" w:eastAsia="Arial" w:hAnsiTheme="minorHAnsi" w:cstheme="minorHAnsi"/>
          <w:sz w:val="22"/>
          <w:szCs w:val="22"/>
        </w:rPr>
        <w:t>)</w:t>
      </w:r>
      <w:r w:rsidR="00267520">
        <w:rPr>
          <w:rFonts w:asciiTheme="minorHAnsi" w:eastAsia="Arial" w:hAnsiTheme="minorHAnsi" w:cstheme="minorHAnsi"/>
          <w:sz w:val="22"/>
          <w:szCs w:val="22"/>
        </w:rPr>
        <w:t xml:space="preserve"> for the GCF</w:t>
      </w:r>
      <w:r w:rsidRPr="00481B75">
        <w:rPr>
          <w:rFonts w:asciiTheme="minorHAnsi" w:eastAsia="Arial" w:hAnsiTheme="minorHAnsi" w:cstheme="minorHAnsi"/>
          <w:sz w:val="22"/>
          <w:szCs w:val="22"/>
        </w:rPr>
        <w:t>, which will include prioritized technologies identified in the TNA</w:t>
      </w:r>
      <w:r w:rsidR="00286C90" w:rsidRPr="00481B75">
        <w:rPr>
          <w:rFonts w:asciiTheme="minorHAnsi" w:eastAsia="Arial" w:hAnsiTheme="minorHAnsi" w:cstheme="minorHAnsi"/>
          <w:sz w:val="22"/>
          <w:szCs w:val="22"/>
        </w:rPr>
        <w:t xml:space="preserve"> and TAP</w:t>
      </w:r>
      <w:r w:rsidR="00267520">
        <w:rPr>
          <w:rFonts w:asciiTheme="minorHAnsi" w:eastAsia="Arial" w:hAnsiTheme="minorHAnsi" w:cstheme="minorHAnsi"/>
          <w:sz w:val="22"/>
          <w:szCs w:val="22"/>
        </w:rPr>
        <w:t>, follow guidance from the Government (NDA and NDE).</w:t>
      </w:r>
    </w:p>
    <w:p w14:paraId="66B4C20C" w14:textId="77777777" w:rsidR="00256772" w:rsidRPr="0006571C" w:rsidRDefault="00256772" w:rsidP="00256772">
      <w:pPr>
        <w:pStyle w:val="ListParagraph"/>
        <w:rPr>
          <w:rFonts w:asciiTheme="minorHAnsi" w:eastAsia="Arial" w:hAnsiTheme="minorHAnsi" w:cstheme="minorHAnsi"/>
          <w:sz w:val="22"/>
          <w:szCs w:val="22"/>
        </w:rPr>
      </w:pPr>
    </w:p>
    <w:p w14:paraId="3F853913" w14:textId="77777777" w:rsidR="00256772" w:rsidRPr="0006571C" w:rsidRDefault="00256772" w:rsidP="00256772">
      <w:pPr>
        <w:pStyle w:val="ListParagraph"/>
        <w:numPr>
          <w:ilvl w:val="0"/>
          <w:numId w:val="16"/>
        </w:num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Further, the TNA process will develop project-specific recommendations for attracting funding to implement selected technologies in priority areas of national relevance, including the engagement of the private sector.</w:t>
      </w:r>
    </w:p>
    <w:p w14:paraId="74EB6B43" w14:textId="77777777" w:rsidR="00256772" w:rsidRPr="0006571C" w:rsidRDefault="00256772" w:rsidP="00256772">
      <w:pPr>
        <w:pStyle w:val="ListParagraph"/>
        <w:rPr>
          <w:rFonts w:asciiTheme="minorHAnsi" w:eastAsia="Arial" w:hAnsiTheme="minorHAnsi" w:cstheme="minorHAnsi"/>
          <w:sz w:val="22"/>
          <w:szCs w:val="22"/>
        </w:rPr>
      </w:pPr>
    </w:p>
    <w:p w14:paraId="0C724BB7" w14:textId="77777777" w:rsidR="00256772" w:rsidRPr="0006571C" w:rsidRDefault="00256772" w:rsidP="00256772">
      <w:pPr>
        <w:spacing w:line="276" w:lineRule="auto"/>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 xml:space="preserve">The general and key tasks of the International Expert Consultant </w:t>
      </w:r>
      <w:proofErr w:type="gramStart"/>
      <w:r w:rsidRPr="0006571C">
        <w:rPr>
          <w:rFonts w:asciiTheme="minorHAnsi" w:eastAsia="Arial" w:hAnsiTheme="minorHAnsi" w:cstheme="minorHAnsi"/>
          <w:sz w:val="22"/>
          <w:szCs w:val="22"/>
        </w:rPr>
        <w:t>are described</w:t>
      </w:r>
      <w:proofErr w:type="gramEnd"/>
      <w:r w:rsidRPr="0006571C">
        <w:rPr>
          <w:rFonts w:asciiTheme="minorHAnsi" w:eastAsia="Arial" w:hAnsiTheme="minorHAnsi" w:cstheme="minorHAnsi"/>
          <w:sz w:val="22"/>
          <w:szCs w:val="22"/>
        </w:rPr>
        <w:t xml:space="preserve"> below.</w:t>
      </w:r>
    </w:p>
    <w:p w14:paraId="17CF670D" w14:textId="77777777" w:rsidR="00CC2DAF" w:rsidRPr="0006571C" w:rsidRDefault="00CC2DAF" w:rsidP="002C7B5C">
      <w:pPr>
        <w:spacing w:before="51" w:line="276" w:lineRule="auto"/>
        <w:jc w:val="both"/>
        <w:rPr>
          <w:rFonts w:asciiTheme="minorHAnsi" w:hAnsiTheme="minorHAnsi" w:cstheme="minorHAnsi"/>
          <w:b/>
          <w:color w:val="181818"/>
          <w:sz w:val="22"/>
          <w:szCs w:val="22"/>
        </w:rPr>
      </w:pPr>
    </w:p>
    <w:p w14:paraId="0AB120B6" w14:textId="2C8F8E57" w:rsidR="0001429C" w:rsidRPr="0006571C" w:rsidRDefault="000540F5" w:rsidP="002C7B5C">
      <w:pPr>
        <w:spacing w:before="51" w:line="276" w:lineRule="auto"/>
        <w:jc w:val="both"/>
        <w:rPr>
          <w:rFonts w:asciiTheme="minorHAnsi" w:hAnsiTheme="minorHAnsi" w:cstheme="minorHAnsi"/>
          <w:b/>
          <w:color w:val="181818"/>
          <w:sz w:val="22"/>
          <w:szCs w:val="22"/>
        </w:rPr>
      </w:pPr>
      <w:r w:rsidRPr="0006571C">
        <w:rPr>
          <w:rFonts w:asciiTheme="minorHAnsi" w:hAnsiTheme="minorHAnsi" w:cstheme="minorHAnsi"/>
          <w:b/>
          <w:color w:val="181818"/>
          <w:sz w:val="22"/>
          <w:szCs w:val="22"/>
        </w:rPr>
        <w:t>S</w:t>
      </w:r>
      <w:r w:rsidR="00496D5C" w:rsidRPr="0006571C">
        <w:rPr>
          <w:rFonts w:asciiTheme="minorHAnsi" w:hAnsiTheme="minorHAnsi" w:cstheme="minorHAnsi"/>
          <w:b/>
          <w:color w:val="181818"/>
          <w:sz w:val="22"/>
          <w:szCs w:val="22"/>
        </w:rPr>
        <w:t>ervices and inputs</w:t>
      </w:r>
      <w:r w:rsidR="0001429C" w:rsidRPr="0006571C">
        <w:rPr>
          <w:rFonts w:asciiTheme="minorHAnsi" w:hAnsiTheme="minorHAnsi" w:cstheme="minorHAnsi"/>
          <w:b/>
          <w:color w:val="181818"/>
          <w:sz w:val="22"/>
          <w:szCs w:val="22"/>
        </w:rPr>
        <w:t xml:space="preserve"> of </w:t>
      </w:r>
      <w:r w:rsidR="00256772" w:rsidRPr="0006571C">
        <w:rPr>
          <w:rFonts w:asciiTheme="minorHAnsi" w:hAnsiTheme="minorHAnsi" w:cstheme="minorHAnsi"/>
          <w:b/>
          <w:color w:val="181818"/>
          <w:sz w:val="22"/>
          <w:szCs w:val="22"/>
        </w:rPr>
        <w:t>the Inter</w:t>
      </w:r>
      <w:r w:rsidR="002F1397">
        <w:rPr>
          <w:rFonts w:asciiTheme="minorHAnsi" w:hAnsiTheme="minorHAnsi" w:cstheme="minorHAnsi"/>
          <w:b/>
          <w:color w:val="181818"/>
          <w:sz w:val="22"/>
          <w:szCs w:val="22"/>
        </w:rPr>
        <w:t>national Mitigation Expert Consultant</w:t>
      </w:r>
    </w:p>
    <w:p w14:paraId="4840A86E" w14:textId="77777777" w:rsidR="00CC2DAF" w:rsidRPr="0006571C" w:rsidRDefault="00CC2DAF" w:rsidP="00256772">
      <w:pPr>
        <w:spacing w:before="51" w:line="276" w:lineRule="auto"/>
        <w:jc w:val="both"/>
        <w:rPr>
          <w:rFonts w:asciiTheme="minorHAnsi" w:hAnsiTheme="minorHAnsi" w:cstheme="minorHAnsi"/>
          <w:color w:val="181818"/>
          <w:sz w:val="22"/>
          <w:szCs w:val="22"/>
        </w:rPr>
      </w:pPr>
    </w:p>
    <w:p w14:paraId="738A5448" w14:textId="5BC7B269" w:rsidR="00256772" w:rsidRPr="0006571C" w:rsidRDefault="00256772" w:rsidP="0025677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The international expert consultant will work in close collaboration with UNEP DTU Partnership</w:t>
      </w:r>
      <w:r w:rsidR="00714ED3">
        <w:rPr>
          <w:rFonts w:asciiTheme="minorHAnsi" w:hAnsiTheme="minorHAnsi" w:cstheme="minorHAnsi"/>
          <w:color w:val="181818"/>
          <w:sz w:val="22"/>
          <w:szCs w:val="22"/>
        </w:rPr>
        <w:t xml:space="preserve"> (UDP)</w:t>
      </w:r>
      <w:r w:rsidRPr="0006571C">
        <w:rPr>
          <w:rFonts w:asciiTheme="minorHAnsi" w:hAnsiTheme="minorHAnsi" w:cstheme="minorHAnsi"/>
          <w:color w:val="181818"/>
          <w:sz w:val="22"/>
          <w:szCs w:val="22"/>
        </w:rPr>
        <w:t xml:space="preserve">, the team of national experts, the TNA focal point at the Kyrgyz Republic Ministry of Economy, the national TNA Committee, including other expert consultants for the TNA project. It </w:t>
      </w:r>
      <w:proofErr w:type="gramStart"/>
      <w:r w:rsidRPr="0006571C">
        <w:rPr>
          <w:rFonts w:asciiTheme="minorHAnsi" w:hAnsiTheme="minorHAnsi" w:cstheme="minorHAnsi"/>
          <w:color w:val="181818"/>
          <w:sz w:val="22"/>
          <w:szCs w:val="22"/>
        </w:rPr>
        <w:t>is expected</w:t>
      </w:r>
      <w:proofErr w:type="gramEnd"/>
      <w:r w:rsidRPr="0006571C">
        <w:rPr>
          <w:rFonts w:asciiTheme="minorHAnsi" w:hAnsiTheme="minorHAnsi" w:cstheme="minorHAnsi"/>
          <w:color w:val="181818"/>
          <w:sz w:val="22"/>
          <w:szCs w:val="22"/>
        </w:rPr>
        <w:t xml:space="preserve"> that the project work will be completed by 31 December 2022. His/her overall task is to support the TNA process, ranging from engaging with stakeholders, attending and contributing to technical meetings and providing substantive reviews of the national TNA project reports for selected </w:t>
      </w:r>
      <w:r w:rsidR="00E54CEC" w:rsidRPr="0006571C">
        <w:rPr>
          <w:rFonts w:asciiTheme="minorHAnsi" w:hAnsiTheme="minorHAnsi" w:cstheme="minorHAnsi"/>
          <w:color w:val="181818"/>
          <w:sz w:val="22"/>
          <w:szCs w:val="22"/>
        </w:rPr>
        <w:t>mitigation</w:t>
      </w:r>
      <w:r w:rsidRPr="0006571C">
        <w:rPr>
          <w:rFonts w:asciiTheme="minorHAnsi" w:hAnsiTheme="minorHAnsi" w:cstheme="minorHAnsi"/>
          <w:color w:val="181818"/>
          <w:sz w:val="22"/>
          <w:szCs w:val="22"/>
        </w:rPr>
        <w:t xml:space="preserve"> technologies, as relevant, in the respective sectors.</w:t>
      </w:r>
    </w:p>
    <w:p w14:paraId="1CD04392"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7CBD03CA" w14:textId="063944A6" w:rsidR="00256772" w:rsidRPr="0006571C" w:rsidRDefault="00256772" w:rsidP="0025677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 xml:space="preserve">Aligned with domestic and global objectives, the international expert consultant will be responsible for providing the national TNA team with the process-related and methodological/technical advisory services needed for developing </w:t>
      </w:r>
      <w:r w:rsidR="00714ED3">
        <w:rPr>
          <w:rFonts w:asciiTheme="minorHAnsi" w:hAnsiTheme="minorHAnsi" w:cstheme="minorHAnsi"/>
          <w:color w:val="181818"/>
          <w:sz w:val="22"/>
          <w:szCs w:val="22"/>
        </w:rPr>
        <w:t>the TNA and TAP</w:t>
      </w:r>
      <w:r w:rsidRPr="0006571C">
        <w:rPr>
          <w:rFonts w:asciiTheme="minorHAnsi" w:hAnsiTheme="minorHAnsi" w:cstheme="minorHAnsi"/>
          <w:color w:val="181818"/>
          <w:sz w:val="22"/>
          <w:szCs w:val="22"/>
        </w:rPr>
        <w:t xml:space="preserve"> at the country level. The role of the international expert consultant will thus be to undertake activities </w:t>
      </w:r>
      <w:r w:rsidR="00714ED3">
        <w:rPr>
          <w:rFonts w:asciiTheme="minorHAnsi" w:hAnsiTheme="minorHAnsi" w:cstheme="minorHAnsi"/>
          <w:color w:val="181818"/>
          <w:sz w:val="22"/>
          <w:szCs w:val="22"/>
        </w:rPr>
        <w:t xml:space="preserve">including support to local stakeholder workshops and consultations and reviews of country-driven technical outputs. </w:t>
      </w:r>
      <w:r w:rsidRPr="0006571C">
        <w:rPr>
          <w:rFonts w:asciiTheme="minorHAnsi" w:hAnsiTheme="minorHAnsi" w:cstheme="minorHAnsi"/>
          <w:color w:val="181818"/>
          <w:sz w:val="22"/>
          <w:szCs w:val="22"/>
        </w:rPr>
        <w:t xml:space="preserve">Moreover, the International Expert Consultant will </w:t>
      </w:r>
      <w:r w:rsidR="00714ED3">
        <w:rPr>
          <w:rFonts w:asciiTheme="minorHAnsi" w:hAnsiTheme="minorHAnsi" w:cstheme="minorHAnsi"/>
          <w:color w:val="181818"/>
          <w:sz w:val="22"/>
          <w:szCs w:val="22"/>
        </w:rPr>
        <w:t>work closely with UDP to support</w:t>
      </w:r>
      <w:r w:rsidRPr="0006571C">
        <w:rPr>
          <w:rFonts w:asciiTheme="minorHAnsi" w:hAnsiTheme="minorHAnsi" w:cstheme="minorHAnsi"/>
          <w:color w:val="181818"/>
          <w:sz w:val="22"/>
          <w:szCs w:val="22"/>
        </w:rPr>
        <w:t xml:space="preserve"> national TNA team members, outreach to stakeholders, </w:t>
      </w:r>
      <w:proofErr w:type="gramStart"/>
      <w:r w:rsidRPr="0006571C">
        <w:rPr>
          <w:rFonts w:asciiTheme="minorHAnsi" w:hAnsiTheme="minorHAnsi" w:cstheme="minorHAnsi"/>
          <w:color w:val="181818"/>
          <w:sz w:val="22"/>
          <w:szCs w:val="22"/>
        </w:rPr>
        <w:t>formation</w:t>
      </w:r>
      <w:proofErr w:type="gramEnd"/>
      <w:r w:rsidRPr="0006571C">
        <w:rPr>
          <w:rFonts w:asciiTheme="minorHAnsi" w:hAnsiTheme="minorHAnsi" w:cstheme="minorHAnsi"/>
          <w:color w:val="181818"/>
          <w:sz w:val="22"/>
          <w:szCs w:val="22"/>
        </w:rPr>
        <w:t xml:space="preserve"> of networks, information acquisition, coordination and communication of work products.</w:t>
      </w:r>
    </w:p>
    <w:p w14:paraId="7A474EB8" w14:textId="77777777" w:rsidR="00256772" w:rsidRPr="0006571C" w:rsidRDefault="00256772" w:rsidP="002C7B5C">
      <w:pPr>
        <w:spacing w:before="51" w:line="276" w:lineRule="auto"/>
        <w:jc w:val="both"/>
        <w:rPr>
          <w:rFonts w:asciiTheme="minorHAnsi" w:hAnsiTheme="minorHAnsi" w:cstheme="minorHAnsi"/>
          <w:color w:val="181818"/>
          <w:sz w:val="22"/>
          <w:szCs w:val="22"/>
        </w:rPr>
      </w:pPr>
    </w:p>
    <w:p w14:paraId="1CA3F03E" w14:textId="738B2148" w:rsidR="00256772" w:rsidRPr="0006571C" w:rsidRDefault="00256772" w:rsidP="0025677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 xml:space="preserve">In close collaboration with the </w:t>
      </w:r>
      <w:r w:rsidR="00714ED3">
        <w:rPr>
          <w:rFonts w:asciiTheme="minorHAnsi" w:hAnsiTheme="minorHAnsi" w:cstheme="minorHAnsi"/>
          <w:color w:val="181818"/>
          <w:sz w:val="22"/>
          <w:szCs w:val="22"/>
        </w:rPr>
        <w:t>National TNA Team</w:t>
      </w:r>
      <w:r w:rsidRPr="0006571C">
        <w:rPr>
          <w:rFonts w:asciiTheme="minorHAnsi" w:hAnsiTheme="minorHAnsi" w:cstheme="minorHAnsi"/>
          <w:color w:val="181818"/>
          <w:sz w:val="22"/>
          <w:szCs w:val="22"/>
        </w:rPr>
        <w:t xml:space="preserve"> and </w:t>
      </w:r>
      <w:r w:rsidR="00714ED3">
        <w:rPr>
          <w:rFonts w:asciiTheme="minorHAnsi" w:hAnsiTheme="minorHAnsi" w:cstheme="minorHAnsi"/>
          <w:color w:val="181818"/>
          <w:sz w:val="22"/>
          <w:szCs w:val="22"/>
        </w:rPr>
        <w:t>UDP</w:t>
      </w:r>
      <w:r w:rsidRPr="0006571C">
        <w:rPr>
          <w:rFonts w:asciiTheme="minorHAnsi" w:hAnsiTheme="minorHAnsi" w:cstheme="minorHAnsi"/>
          <w:color w:val="181818"/>
          <w:sz w:val="22"/>
          <w:szCs w:val="22"/>
        </w:rPr>
        <w:t>, the international expert consultant will be responsible for, inter-alia:</w:t>
      </w:r>
    </w:p>
    <w:p w14:paraId="584436B1"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4BF2F8AB" w14:textId="77777777" w:rsidR="00256772" w:rsidRPr="0006571C" w:rsidRDefault="00C7314D" w:rsidP="00256772">
      <w:pPr>
        <w:pStyle w:val="ListParagraph"/>
        <w:numPr>
          <w:ilvl w:val="0"/>
          <w:numId w:val="18"/>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 xml:space="preserve">Supporting </w:t>
      </w:r>
      <w:r w:rsidR="0089478B" w:rsidRPr="0006571C">
        <w:rPr>
          <w:rFonts w:asciiTheme="minorHAnsi" w:hAnsiTheme="minorHAnsi" w:cstheme="minorHAnsi"/>
          <w:color w:val="181818"/>
          <w:sz w:val="22"/>
          <w:szCs w:val="22"/>
        </w:rPr>
        <w:t xml:space="preserve">the </w:t>
      </w:r>
      <w:r w:rsidRPr="0006571C">
        <w:rPr>
          <w:rFonts w:asciiTheme="minorHAnsi" w:hAnsiTheme="minorHAnsi" w:cstheme="minorHAnsi"/>
          <w:color w:val="181818"/>
          <w:sz w:val="22"/>
          <w:szCs w:val="22"/>
        </w:rPr>
        <w:t>organis</w:t>
      </w:r>
      <w:r w:rsidR="0089478B" w:rsidRPr="0006571C">
        <w:rPr>
          <w:rFonts w:asciiTheme="minorHAnsi" w:hAnsiTheme="minorHAnsi" w:cstheme="minorHAnsi"/>
          <w:color w:val="181818"/>
          <w:sz w:val="22"/>
          <w:szCs w:val="22"/>
        </w:rPr>
        <w:t>ation of</w:t>
      </w:r>
      <w:r w:rsidRPr="0006571C">
        <w:rPr>
          <w:rFonts w:asciiTheme="minorHAnsi" w:hAnsiTheme="minorHAnsi" w:cstheme="minorHAnsi"/>
          <w:color w:val="181818"/>
          <w:sz w:val="22"/>
          <w:szCs w:val="22"/>
        </w:rPr>
        <w:t xml:space="preserve"> </w:t>
      </w:r>
      <w:r w:rsidR="00256772" w:rsidRPr="0006571C">
        <w:rPr>
          <w:rFonts w:asciiTheme="minorHAnsi" w:hAnsiTheme="minorHAnsi" w:cstheme="minorHAnsi"/>
          <w:color w:val="181818"/>
          <w:sz w:val="22"/>
          <w:szCs w:val="22"/>
        </w:rPr>
        <w:t>relevant sector consultative stakeholder meetings and workshops.</w:t>
      </w:r>
    </w:p>
    <w:p w14:paraId="433AA631"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3C06791F" w14:textId="70E54FFE" w:rsidR="00256772" w:rsidRPr="0006571C" w:rsidRDefault="00256772" w:rsidP="00256772">
      <w:pPr>
        <w:pStyle w:val="ListParagraph"/>
        <w:numPr>
          <w:ilvl w:val="0"/>
          <w:numId w:val="18"/>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Provision of mitigation relevant input to workshop report(s) on the results of the workshops</w:t>
      </w:r>
    </w:p>
    <w:p w14:paraId="5F617380"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3898DC27" w14:textId="16AF10A0" w:rsidR="00256772" w:rsidRPr="0006571C" w:rsidRDefault="00714ED3" w:rsidP="00256772">
      <w:pPr>
        <w:pStyle w:val="ListParagraph"/>
        <w:numPr>
          <w:ilvl w:val="0"/>
          <w:numId w:val="18"/>
        </w:numPr>
        <w:spacing w:before="51" w:line="276" w:lineRule="auto"/>
        <w:jc w:val="both"/>
        <w:rPr>
          <w:rFonts w:asciiTheme="minorHAnsi" w:hAnsiTheme="minorHAnsi" w:cstheme="minorHAnsi"/>
          <w:color w:val="181818"/>
          <w:sz w:val="22"/>
          <w:szCs w:val="22"/>
        </w:rPr>
      </w:pPr>
      <w:r>
        <w:rPr>
          <w:rFonts w:asciiTheme="minorHAnsi" w:hAnsiTheme="minorHAnsi" w:cstheme="minorHAnsi"/>
          <w:color w:val="181818"/>
          <w:sz w:val="22"/>
          <w:szCs w:val="22"/>
        </w:rPr>
        <w:t>Provision of technical support and inputs to the country-driven process of i</w:t>
      </w:r>
      <w:r w:rsidR="00256772" w:rsidRPr="0006571C">
        <w:rPr>
          <w:rFonts w:asciiTheme="minorHAnsi" w:hAnsiTheme="minorHAnsi" w:cstheme="minorHAnsi"/>
          <w:color w:val="181818"/>
          <w:sz w:val="22"/>
          <w:szCs w:val="22"/>
        </w:rPr>
        <w:t>dentif</w:t>
      </w:r>
      <w:r>
        <w:rPr>
          <w:rFonts w:asciiTheme="minorHAnsi" w:hAnsiTheme="minorHAnsi" w:cstheme="minorHAnsi"/>
          <w:color w:val="181818"/>
          <w:sz w:val="22"/>
          <w:szCs w:val="22"/>
        </w:rPr>
        <w:t xml:space="preserve">ying </w:t>
      </w:r>
      <w:r w:rsidR="00256772" w:rsidRPr="0006571C">
        <w:rPr>
          <w:rFonts w:asciiTheme="minorHAnsi" w:hAnsiTheme="minorHAnsi" w:cstheme="minorHAnsi"/>
          <w:color w:val="181818"/>
          <w:sz w:val="22"/>
          <w:szCs w:val="22"/>
        </w:rPr>
        <w:t>and prioritiz</w:t>
      </w:r>
      <w:r>
        <w:rPr>
          <w:rFonts w:asciiTheme="minorHAnsi" w:hAnsiTheme="minorHAnsi" w:cstheme="minorHAnsi"/>
          <w:color w:val="181818"/>
          <w:sz w:val="22"/>
          <w:szCs w:val="22"/>
        </w:rPr>
        <w:t xml:space="preserve">ing </w:t>
      </w:r>
      <w:r w:rsidR="00256772" w:rsidRPr="0006571C">
        <w:rPr>
          <w:rFonts w:asciiTheme="minorHAnsi" w:hAnsiTheme="minorHAnsi" w:cstheme="minorHAnsi"/>
          <w:color w:val="181818"/>
          <w:sz w:val="22"/>
          <w:szCs w:val="22"/>
        </w:rPr>
        <w:t>mitigation technologies through a participatory process with a broad involvement of relevant stakeholders, including;</w:t>
      </w:r>
    </w:p>
    <w:p w14:paraId="5B429829"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24D44E7D" w14:textId="77777777" w:rsidR="00256772" w:rsidRPr="0006571C" w:rsidRDefault="00256772" w:rsidP="00C7314D">
      <w:pPr>
        <w:pStyle w:val="ListParagraph"/>
        <w:numPr>
          <w:ilvl w:val="0"/>
          <w:numId w:val="19"/>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Identification and link-up with relevant stakeholders and facilitation of the sector working groups to be set-up,</w:t>
      </w:r>
      <w:r w:rsidR="00C7314D" w:rsidRPr="0006571C">
        <w:rPr>
          <w:rFonts w:asciiTheme="minorHAnsi" w:hAnsiTheme="minorHAnsi" w:cstheme="minorHAnsi"/>
          <w:color w:val="181818"/>
          <w:sz w:val="22"/>
          <w:szCs w:val="22"/>
        </w:rPr>
        <w:t xml:space="preserve"> and</w:t>
      </w:r>
    </w:p>
    <w:p w14:paraId="7FD3D2F8" w14:textId="77777777" w:rsidR="009D1DB5" w:rsidRPr="0006571C" w:rsidRDefault="009D1DB5" w:rsidP="009D1DB5">
      <w:pPr>
        <w:pStyle w:val="ListParagraph"/>
        <w:spacing w:before="51" w:line="276" w:lineRule="auto"/>
        <w:ind w:left="1080"/>
        <w:jc w:val="both"/>
        <w:rPr>
          <w:rFonts w:asciiTheme="minorHAnsi" w:hAnsiTheme="minorHAnsi" w:cstheme="minorHAnsi"/>
          <w:color w:val="181818"/>
          <w:sz w:val="22"/>
          <w:szCs w:val="22"/>
        </w:rPr>
      </w:pPr>
    </w:p>
    <w:p w14:paraId="7C5171D2" w14:textId="1E5ECBA9" w:rsidR="00256772" w:rsidRPr="0006571C" w:rsidRDefault="00145412" w:rsidP="00256772">
      <w:pPr>
        <w:pStyle w:val="ListParagraph"/>
        <w:numPr>
          <w:ilvl w:val="0"/>
          <w:numId w:val="19"/>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Support to c</w:t>
      </w:r>
      <w:r w:rsidR="00256772" w:rsidRPr="0006571C">
        <w:rPr>
          <w:rFonts w:asciiTheme="minorHAnsi" w:hAnsiTheme="minorHAnsi" w:cstheme="minorHAnsi"/>
          <w:color w:val="181818"/>
          <w:sz w:val="22"/>
          <w:szCs w:val="22"/>
        </w:rPr>
        <w:t>ollecting, analysing and synthesising information and data to prepare concept notes (technology fact sheets) for the respective sectors</w:t>
      </w:r>
    </w:p>
    <w:p w14:paraId="5B887DB3"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1E4B11F9" w14:textId="35B7E2B8" w:rsidR="00256772" w:rsidRPr="0006571C" w:rsidRDefault="00714ED3" w:rsidP="00256772">
      <w:pPr>
        <w:pStyle w:val="ListParagraph"/>
        <w:numPr>
          <w:ilvl w:val="0"/>
          <w:numId w:val="18"/>
        </w:numPr>
        <w:spacing w:before="51" w:line="276" w:lineRule="auto"/>
        <w:jc w:val="both"/>
        <w:rPr>
          <w:rFonts w:asciiTheme="minorHAnsi" w:hAnsiTheme="minorHAnsi" w:cstheme="minorHAnsi"/>
          <w:color w:val="181818"/>
          <w:sz w:val="22"/>
          <w:szCs w:val="22"/>
        </w:rPr>
      </w:pPr>
      <w:r>
        <w:rPr>
          <w:rFonts w:asciiTheme="minorHAnsi" w:hAnsiTheme="minorHAnsi" w:cstheme="minorHAnsi"/>
          <w:color w:val="181818"/>
          <w:sz w:val="22"/>
          <w:szCs w:val="22"/>
        </w:rPr>
        <w:lastRenderedPageBreak/>
        <w:t>Provide support to country-driven analysis</w:t>
      </w:r>
      <w:r w:rsidR="00256772" w:rsidRPr="0006571C">
        <w:rPr>
          <w:rFonts w:asciiTheme="minorHAnsi" w:hAnsiTheme="minorHAnsi" w:cstheme="minorHAnsi"/>
          <w:color w:val="181818"/>
          <w:sz w:val="22"/>
          <w:szCs w:val="22"/>
        </w:rPr>
        <w:t>, with the input of stakeholder groups, how the prioritized technologies can be implemented in the country and how implementation circumstances could be improved by addressing the barriers and developing an enabling framework based, inter-alia, on undertaking of local market and other assessments, as may be required;</w:t>
      </w:r>
    </w:p>
    <w:p w14:paraId="40FD3E0C"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4E421BDD" w14:textId="77777777" w:rsidR="00256772" w:rsidRPr="0006571C" w:rsidRDefault="00256772" w:rsidP="00256772">
      <w:pPr>
        <w:pStyle w:val="ListParagraph"/>
        <w:numPr>
          <w:ilvl w:val="0"/>
          <w:numId w:val="20"/>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Substantive reviews of the TNA, barrier analysis and TAP reports, with project concept notes and with inputs of stakeholders included.</w:t>
      </w:r>
    </w:p>
    <w:p w14:paraId="5933CE64" w14:textId="77777777" w:rsidR="009D1DB5" w:rsidRPr="0006571C" w:rsidRDefault="009D1DB5" w:rsidP="009D1DB5">
      <w:pPr>
        <w:pStyle w:val="ListParagraph"/>
        <w:spacing w:before="51" w:line="276" w:lineRule="auto"/>
        <w:ind w:left="1080"/>
        <w:jc w:val="both"/>
        <w:rPr>
          <w:rFonts w:asciiTheme="minorHAnsi" w:hAnsiTheme="minorHAnsi" w:cstheme="minorHAnsi"/>
          <w:color w:val="181818"/>
          <w:sz w:val="22"/>
          <w:szCs w:val="22"/>
        </w:rPr>
      </w:pPr>
    </w:p>
    <w:p w14:paraId="3381BBC1" w14:textId="77777777" w:rsidR="00256772" w:rsidRPr="0006571C" w:rsidRDefault="00C7314D" w:rsidP="00256772">
      <w:pPr>
        <w:pStyle w:val="ListParagraph"/>
        <w:numPr>
          <w:ilvl w:val="0"/>
          <w:numId w:val="20"/>
        </w:num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Provide support to the preparation of</w:t>
      </w:r>
      <w:r w:rsidR="00256772" w:rsidRPr="0006571C">
        <w:rPr>
          <w:rFonts w:asciiTheme="minorHAnsi" w:hAnsiTheme="minorHAnsi" w:cstheme="minorHAnsi"/>
          <w:color w:val="181818"/>
          <w:sz w:val="22"/>
          <w:szCs w:val="22"/>
        </w:rPr>
        <w:t xml:space="preserve"> working papers and other TNA-related documents as may be required to ease the consultative process and harnessing inputs from stakeholders during meetings, workshops, amongst others.</w:t>
      </w:r>
    </w:p>
    <w:p w14:paraId="130CA465" w14:textId="77777777" w:rsidR="00256772" w:rsidRPr="0006571C" w:rsidRDefault="00256772" w:rsidP="00256772">
      <w:pPr>
        <w:spacing w:before="51" w:line="276" w:lineRule="auto"/>
        <w:jc w:val="both"/>
        <w:rPr>
          <w:rFonts w:asciiTheme="minorHAnsi" w:hAnsiTheme="minorHAnsi" w:cstheme="minorHAnsi"/>
          <w:color w:val="181818"/>
          <w:sz w:val="22"/>
          <w:szCs w:val="22"/>
        </w:rPr>
      </w:pPr>
    </w:p>
    <w:p w14:paraId="670B82E4" w14:textId="77777777" w:rsidR="00256772" w:rsidRPr="0006571C" w:rsidRDefault="00256772" w:rsidP="0025677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The international expert consultant will be required to use best practices, guidelines, methodologies and technical guidance available through the UDP and other approved sources.</w:t>
      </w:r>
    </w:p>
    <w:p w14:paraId="3FA95A9E" w14:textId="77777777" w:rsidR="00145412" w:rsidRPr="0006571C" w:rsidRDefault="00145412" w:rsidP="0025677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br w:type="page"/>
      </w:r>
    </w:p>
    <w:p w14:paraId="5F06278E" w14:textId="77777777" w:rsidR="00420FAB" w:rsidRPr="0006571C" w:rsidRDefault="00420FAB" w:rsidP="00256772">
      <w:pPr>
        <w:spacing w:before="51" w:line="276" w:lineRule="auto"/>
        <w:jc w:val="both"/>
        <w:rPr>
          <w:rFonts w:asciiTheme="minorHAnsi" w:hAnsiTheme="minorHAnsi" w:cstheme="minorHAnsi"/>
          <w:b/>
          <w:color w:val="181818"/>
          <w:sz w:val="22"/>
          <w:szCs w:val="22"/>
        </w:rPr>
        <w:sectPr w:rsidR="00420FAB" w:rsidRPr="0006571C" w:rsidSect="00574443">
          <w:footerReference w:type="even" r:id="rId11"/>
          <w:footerReference w:type="default" r:id="rId12"/>
          <w:headerReference w:type="first" r:id="rId13"/>
          <w:footerReference w:type="first" r:id="rId14"/>
          <w:pgSz w:w="11906" w:h="16838"/>
          <w:pgMar w:top="1134" w:right="1134" w:bottom="1134" w:left="1134" w:header="567" w:footer="409" w:gutter="0"/>
          <w:cols w:space="720"/>
          <w:titlePg/>
          <w:docGrid w:linePitch="360"/>
        </w:sectPr>
      </w:pPr>
    </w:p>
    <w:p w14:paraId="0A28495B" w14:textId="77777777" w:rsidR="00145412" w:rsidRPr="0006571C" w:rsidRDefault="00145412" w:rsidP="00256772">
      <w:pPr>
        <w:spacing w:before="51" w:line="276" w:lineRule="auto"/>
        <w:jc w:val="both"/>
        <w:rPr>
          <w:rFonts w:asciiTheme="minorHAnsi" w:hAnsiTheme="minorHAnsi" w:cstheme="minorHAnsi"/>
          <w:b/>
          <w:color w:val="181818"/>
          <w:sz w:val="22"/>
          <w:szCs w:val="22"/>
        </w:rPr>
      </w:pPr>
      <w:r w:rsidRPr="0006571C">
        <w:rPr>
          <w:rFonts w:asciiTheme="minorHAnsi" w:hAnsiTheme="minorHAnsi" w:cstheme="minorHAnsi"/>
          <w:b/>
          <w:color w:val="181818"/>
          <w:sz w:val="22"/>
          <w:szCs w:val="22"/>
        </w:rPr>
        <w:lastRenderedPageBreak/>
        <w:t>Specific Tasks</w:t>
      </w:r>
    </w:p>
    <w:p w14:paraId="4692E892" w14:textId="039E3E23" w:rsidR="0010650C" w:rsidRPr="0006571C" w:rsidRDefault="00256772" w:rsidP="00145412">
      <w:pPr>
        <w:spacing w:before="51" w:line="276" w:lineRule="auto"/>
        <w:jc w:val="both"/>
        <w:rPr>
          <w:rFonts w:asciiTheme="minorHAnsi" w:hAnsiTheme="minorHAnsi" w:cstheme="minorHAnsi"/>
          <w:color w:val="181818"/>
          <w:sz w:val="22"/>
          <w:szCs w:val="22"/>
        </w:rPr>
      </w:pPr>
      <w:r w:rsidRPr="0006571C">
        <w:rPr>
          <w:rFonts w:asciiTheme="minorHAnsi" w:hAnsiTheme="minorHAnsi" w:cstheme="minorHAnsi"/>
          <w:color w:val="181818"/>
          <w:sz w:val="22"/>
          <w:szCs w:val="22"/>
        </w:rPr>
        <w:t xml:space="preserve">The following provides an overview of </w:t>
      </w:r>
      <w:r w:rsidR="0067592F" w:rsidRPr="0006571C">
        <w:rPr>
          <w:rFonts w:asciiTheme="minorHAnsi" w:hAnsiTheme="minorHAnsi" w:cstheme="minorHAnsi"/>
          <w:b/>
          <w:color w:val="181818"/>
          <w:sz w:val="22"/>
          <w:szCs w:val="22"/>
        </w:rPr>
        <w:t>deliverables</w:t>
      </w:r>
      <w:r w:rsidR="0067592F" w:rsidRPr="0006571C">
        <w:rPr>
          <w:rFonts w:asciiTheme="minorHAnsi" w:hAnsiTheme="minorHAnsi" w:cstheme="minorHAnsi"/>
          <w:color w:val="181818"/>
          <w:sz w:val="22"/>
          <w:szCs w:val="22"/>
        </w:rPr>
        <w:t xml:space="preserve"> for the </w:t>
      </w:r>
      <w:r w:rsidR="009D1DB5" w:rsidRPr="0006571C">
        <w:rPr>
          <w:rFonts w:asciiTheme="minorHAnsi" w:hAnsiTheme="minorHAnsi" w:cstheme="minorHAnsi"/>
          <w:color w:val="181818"/>
          <w:sz w:val="22"/>
          <w:szCs w:val="22"/>
        </w:rPr>
        <w:t>international expert consultant</w:t>
      </w:r>
      <w:r w:rsidR="00933945" w:rsidRPr="0006571C">
        <w:rPr>
          <w:rFonts w:asciiTheme="minorHAnsi" w:hAnsiTheme="minorHAnsi" w:cstheme="minorHAnsi"/>
          <w:color w:val="181818"/>
          <w:sz w:val="22"/>
          <w:szCs w:val="22"/>
        </w:rPr>
        <w:t xml:space="preserve">, </w:t>
      </w:r>
      <w:r w:rsidR="0067592F" w:rsidRPr="0006571C">
        <w:rPr>
          <w:rFonts w:asciiTheme="minorHAnsi" w:hAnsiTheme="minorHAnsi" w:cstheme="minorHAnsi"/>
          <w:color w:val="181818"/>
          <w:sz w:val="22"/>
          <w:szCs w:val="22"/>
        </w:rPr>
        <w:t xml:space="preserve">in support of the </w:t>
      </w:r>
      <w:r w:rsidR="0067592F" w:rsidRPr="0006571C">
        <w:rPr>
          <w:rFonts w:asciiTheme="minorHAnsi" w:hAnsiTheme="minorHAnsi" w:cstheme="minorHAnsi"/>
          <w:b/>
          <w:color w:val="181818"/>
          <w:sz w:val="22"/>
          <w:szCs w:val="22"/>
        </w:rPr>
        <w:t>tasks</w:t>
      </w:r>
      <w:r w:rsidR="0067592F" w:rsidRPr="0006571C">
        <w:rPr>
          <w:rFonts w:asciiTheme="minorHAnsi" w:hAnsiTheme="minorHAnsi" w:cstheme="minorHAnsi"/>
          <w:color w:val="181818"/>
          <w:sz w:val="22"/>
          <w:szCs w:val="22"/>
        </w:rPr>
        <w:t xml:space="preserve"> </w:t>
      </w:r>
      <w:r w:rsidR="00933945" w:rsidRPr="0006571C">
        <w:rPr>
          <w:rFonts w:asciiTheme="minorHAnsi" w:hAnsiTheme="minorHAnsi" w:cstheme="minorHAnsi"/>
          <w:color w:val="181818"/>
          <w:sz w:val="22"/>
          <w:szCs w:val="22"/>
        </w:rPr>
        <w:t xml:space="preserve">listed in the GCF </w:t>
      </w:r>
      <w:r w:rsidR="0067592F" w:rsidRPr="0006571C">
        <w:rPr>
          <w:rFonts w:asciiTheme="minorHAnsi" w:hAnsiTheme="minorHAnsi" w:cstheme="minorHAnsi"/>
          <w:color w:val="181818"/>
          <w:sz w:val="22"/>
          <w:szCs w:val="22"/>
        </w:rPr>
        <w:t xml:space="preserve">project </w:t>
      </w:r>
      <w:r w:rsidR="00933945" w:rsidRPr="0006571C">
        <w:rPr>
          <w:rFonts w:asciiTheme="minorHAnsi" w:hAnsiTheme="minorHAnsi" w:cstheme="minorHAnsi"/>
          <w:color w:val="181818"/>
          <w:sz w:val="22"/>
          <w:szCs w:val="22"/>
        </w:rPr>
        <w:t>proposal</w:t>
      </w:r>
    </w:p>
    <w:p w14:paraId="0CF111F1" w14:textId="77777777" w:rsidR="009D1DB5" w:rsidRPr="0006571C" w:rsidRDefault="009D1DB5" w:rsidP="00145412">
      <w:pPr>
        <w:spacing w:before="51" w:line="276" w:lineRule="auto"/>
        <w:jc w:val="both"/>
        <w:rPr>
          <w:rFonts w:asciiTheme="minorHAnsi" w:hAnsiTheme="minorHAnsi" w:cstheme="minorHAnsi"/>
          <w:color w:val="181818"/>
          <w:sz w:val="22"/>
          <w:szCs w:val="22"/>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83"/>
        <w:gridCol w:w="2835"/>
        <w:gridCol w:w="1388"/>
        <w:gridCol w:w="1800"/>
      </w:tblGrid>
      <w:tr w:rsidR="00145412" w:rsidRPr="0006571C" w14:paraId="2FE2FF44" w14:textId="77777777" w:rsidTr="00933945">
        <w:tc>
          <w:tcPr>
            <w:tcW w:w="1134" w:type="dxa"/>
            <w:shd w:val="clear" w:color="auto" w:fill="CCC0D9"/>
          </w:tcPr>
          <w:p w14:paraId="174A096B" w14:textId="77777777" w:rsidR="00145412" w:rsidRPr="0006571C" w:rsidRDefault="00145412" w:rsidP="00933945">
            <w:pPr>
              <w:rPr>
                <w:rFonts w:asciiTheme="minorHAnsi" w:hAnsiTheme="minorHAnsi" w:cstheme="minorHAnsi"/>
                <w:b/>
              </w:rPr>
            </w:pPr>
            <w:r w:rsidRPr="0006571C">
              <w:rPr>
                <w:rFonts w:asciiTheme="minorHAnsi" w:hAnsiTheme="minorHAnsi" w:cstheme="minorHAnsi"/>
                <w:b/>
              </w:rPr>
              <w:t>Activity</w:t>
            </w:r>
            <w:r w:rsidR="00933945" w:rsidRPr="0006571C">
              <w:rPr>
                <w:rFonts w:asciiTheme="minorHAnsi" w:hAnsiTheme="minorHAnsi" w:cstheme="minorHAnsi"/>
                <w:b/>
              </w:rPr>
              <w:t xml:space="preserve"> </w:t>
            </w:r>
          </w:p>
        </w:tc>
        <w:tc>
          <w:tcPr>
            <w:tcW w:w="5983" w:type="dxa"/>
            <w:shd w:val="clear" w:color="auto" w:fill="CCC0D9"/>
          </w:tcPr>
          <w:p w14:paraId="0E581090" w14:textId="2CC7FE4E" w:rsidR="00145412" w:rsidRPr="0006571C" w:rsidRDefault="00401074" w:rsidP="00FC2802">
            <w:pPr>
              <w:autoSpaceDE w:val="0"/>
              <w:autoSpaceDN w:val="0"/>
              <w:adjustRightInd w:val="0"/>
              <w:rPr>
                <w:rFonts w:asciiTheme="minorHAnsi" w:hAnsiTheme="minorHAnsi" w:cstheme="minorHAnsi"/>
                <w:b/>
              </w:rPr>
            </w:pPr>
            <w:r>
              <w:rPr>
                <w:rFonts w:asciiTheme="minorHAnsi" w:hAnsiTheme="minorHAnsi" w:cstheme="minorHAnsi"/>
                <w:b/>
                <w:sz w:val="22"/>
                <w:szCs w:val="22"/>
              </w:rPr>
              <w:t xml:space="preserve">Overall </w:t>
            </w:r>
            <w:r w:rsidR="00145412" w:rsidRPr="0006571C">
              <w:rPr>
                <w:rFonts w:asciiTheme="minorHAnsi" w:hAnsiTheme="minorHAnsi" w:cstheme="minorHAnsi"/>
                <w:b/>
                <w:sz w:val="22"/>
                <w:szCs w:val="22"/>
              </w:rPr>
              <w:t>Tasks</w:t>
            </w:r>
            <w:r>
              <w:rPr>
                <w:rFonts w:asciiTheme="minorHAnsi" w:hAnsiTheme="minorHAnsi" w:cstheme="minorHAnsi"/>
                <w:b/>
                <w:sz w:val="22"/>
                <w:szCs w:val="22"/>
              </w:rPr>
              <w:t xml:space="preserve"> (driven by the National TNA Experts)</w:t>
            </w:r>
          </w:p>
        </w:tc>
        <w:tc>
          <w:tcPr>
            <w:tcW w:w="2835" w:type="dxa"/>
            <w:shd w:val="clear" w:color="auto" w:fill="CCC0D9"/>
          </w:tcPr>
          <w:p w14:paraId="63800AC0" w14:textId="77777777" w:rsidR="00145412" w:rsidRPr="0006571C" w:rsidRDefault="00145412" w:rsidP="00FC2802">
            <w:pPr>
              <w:autoSpaceDE w:val="0"/>
              <w:autoSpaceDN w:val="0"/>
              <w:adjustRightInd w:val="0"/>
              <w:rPr>
                <w:rFonts w:asciiTheme="minorHAnsi" w:hAnsiTheme="minorHAnsi" w:cstheme="minorHAnsi"/>
                <w:b/>
              </w:rPr>
            </w:pPr>
            <w:r w:rsidRPr="0006571C">
              <w:rPr>
                <w:rFonts w:asciiTheme="minorHAnsi" w:hAnsiTheme="minorHAnsi" w:cstheme="minorHAnsi"/>
                <w:b/>
                <w:sz w:val="22"/>
                <w:szCs w:val="22"/>
              </w:rPr>
              <w:t xml:space="preserve">Deliverables </w:t>
            </w:r>
          </w:p>
        </w:tc>
        <w:tc>
          <w:tcPr>
            <w:tcW w:w="1388" w:type="dxa"/>
            <w:shd w:val="clear" w:color="auto" w:fill="CCC0D9"/>
          </w:tcPr>
          <w:p w14:paraId="4229488F" w14:textId="77777777" w:rsidR="00145412" w:rsidRPr="0006571C" w:rsidRDefault="00145412" w:rsidP="00FC2802">
            <w:pPr>
              <w:autoSpaceDE w:val="0"/>
              <w:autoSpaceDN w:val="0"/>
              <w:adjustRightInd w:val="0"/>
              <w:rPr>
                <w:rFonts w:asciiTheme="minorHAnsi" w:hAnsiTheme="minorHAnsi" w:cstheme="minorHAnsi"/>
                <w:b/>
              </w:rPr>
            </w:pPr>
            <w:r w:rsidRPr="0006571C">
              <w:rPr>
                <w:rFonts w:asciiTheme="minorHAnsi" w:hAnsiTheme="minorHAnsi" w:cstheme="minorHAnsi"/>
                <w:b/>
                <w:sz w:val="22"/>
                <w:szCs w:val="22"/>
              </w:rPr>
              <w:t>Timeframe</w:t>
            </w:r>
          </w:p>
        </w:tc>
        <w:tc>
          <w:tcPr>
            <w:tcW w:w="1800" w:type="dxa"/>
            <w:shd w:val="clear" w:color="auto" w:fill="CCC0D9"/>
          </w:tcPr>
          <w:p w14:paraId="44D16380" w14:textId="77777777" w:rsidR="00145412" w:rsidRPr="0006571C" w:rsidRDefault="00145412" w:rsidP="00FC2802">
            <w:pPr>
              <w:autoSpaceDE w:val="0"/>
              <w:autoSpaceDN w:val="0"/>
              <w:adjustRightInd w:val="0"/>
              <w:rPr>
                <w:rFonts w:asciiTheme="minorHAnsi" w:hAnsiTheme="minorHAnsi" w:cstheme="minorHAnsi"/>
                <w:b/>
              </w:rPr>
            </w:pPr>
            <w:r w:rsidRPr="0006571C">
              <w:rPr>
                <w:rFonts w:asciiTheme="minorHAnsi" w:hAnsiTheme="minorHAnsi" w:cstheme="minorHAnsi"/>
                <w:b/>
                <w:sz w:val="22"/>
                <w:szCs w:val="22"/>
              </w:rPr>
              <w:t xml:space="preserve">Additional remarks </w:t>
            </w:r>
          </w:p>
        </w:tc>
      </w:tr>
      <w:tr w:rsidR="00145412" w:rsidRPr="0006571C" w14:paraId="5FB82182" w14:textId="77777777" w:rsidTr="00933945">
        <w:tc>
          <w:tcPr>
            <w:tcW w:w="1134" w:type="dxa"/>
          </w:tcPr>
          <w:p w14:paraId="32679E68" w14:textId="77777777" w:rsidR="00145412" w:rsidRPr="0006571C" w:rsidRDefault="00145412" w:rsidP="00FC2802">
            <w:pPr>
              <w:rPr>
                <w:rFonts w:asciiTheme="minorHAnsi" w:hAnsiTheme="minorHAnsi" w:cstheme="minorHAnsi"/>
                <w:sz w:val="22"/>
                <w:szCs w:val="22"/>
              </w:rPr>
            </w:pPr>
            <w:r w:rsidRPr="0006571C">
              <w:rPr>
                <w:rFonts w:asciiTheme="minorHAnsi" w:hAnsiTheme="minorHAnsi" w:cstheme="minorHAnsi"/>
                <w:sz w:val="22"/>
                <w:szCs w:val="22"/>
              </w:rPr>
              <w:t>1.3.1b</w:t>
            </w:r>
          </w:p>
        </w:tc>
        <w:tc>
          <w:tcPr>
            <w:tcW w:w="5983" w:type="dxa"/>
          </w:tcPr>
          <w:p w14:paraId="4C34D94B" w14:textId="77777777" w:rsidR="00145412" w:rsidRPr="0006571C" w:rsidRDefault="00FF6AD7" w:rsidP="00FC2802">
            <w:pPr>
              <w:rPr>
                <w:rFonts w:asciiTheme="minorHAnsi" w:hAnsiTheme="minorHAnsi" w:cstheme="minorHAnsi"/>
                <w:sz w:val="22"/>
                <w:szCs w:val="22"/>
              </w:rPr>
            </w:pPr>
            <w:r w:rsidRPr="0006571C">
              <w:rPr>
                <w:rFonts w:asciiTheme="minorHAnsi" w:hAnsiTheme="minorHAnsi" w:cstheme="minorHAnsi"/>
                <w:b/>
                <w:sz w:val="22"/>
                <w:szCs w:val="22"/>
                <w:shd w:val="clear" w:color="auto" w:fill="E5DFEC"/>
              </w:rPr>
              <w:t>S</w:t>
            </w:r>
            <w:r w:rsidR="00145412" w:rsidRPr="0006571C">
              <w:rPr>
                <w:rFonts w:asciiTheme="minorHAnsi" w:hAnsiTheme="minorHAnsi" w:cstheme="minorHAnsi"/>
                <w:b/>
                <w:sz w:val="22"/>
                <w:szCs w:val="22"/>
                <w:shd w:val="clear" w:color="auto" w:fill="E5DFEC"/>
              </w:rPr>
              <w:t>takeholder</w:t>
            </w:r>
            <w:r w:rsidRPr="0006571C">
              <w:rPr>
                <w:rFonts w:asciiTheme="minorHAnsi" w:hAnsiTheme="minorHAnsi" w:cstheme="minorHAnsi"/>
                <w:b/>
                <w:sz w:val="22"/>
                <w:szCs w:val="22"/>
                <w:shd w:val="clear" w:color="auto" w:fill="E5DFEC"/>
              </w:rPr>
              <w:t xml:space="preserve"> mapping</w:t>
            </w:r>
            <w:r w:rsidR="00145412" w:rsidRPr="0006571C">
              <w:rPr>
                <w:rFonts w:asciiTheme="minorHAnsi" w:hAnsiTheme="minorHAnsi" w:cstheme="minorHAnsi"/>
                <w:b/>
                <w:sz w:val="22"/>
                <w:szCs w:val="22"/>
                <w:shd w:val="clear" w:color="auto" w:fill="E5DFEC"/>
              </w:rPr>
              <w:t xml:space="preserve"> and </w:t>
            </w:r>
            <w:r w:rsidRPr="0006571C">
              <w:rPr>
                <w:rFonts w:asciiTheme="minorHAnsi" w:hAnsiTheme="minorHAnsi" w:cstheme="minorHAnsi"/>
                <w:b/>
                <w:sz w:val="22"/>
                <w:szCs w:val="22"/>
                <w:shd w:val="clear" w:color="auto" w:fill="E5DFEC"/>
              </w:rPr>
              <w:t>the establishment of</w:t>
            </w:r>
            <w:r w:rsidR="00145412" w:rsidRPr="0006571C">
              <w:rPr>
                <w:rFonts w:asciiTheme="minorHAnsi" w:hAnsiTheme="minorHAnsi" w:cstheme="minorHAnsi"/>
                <w:b/>
                <w:sz w:val="22"/>
                <w:szCs w:val="22"/>
                <w:shd w:val="clear" w:color="auto" w:fill="E5DFEC"/>
              </w:rPr>
              <w:t xml:space="preserve"> working groups to actively contribute to the Sectoral TNA process</w:t>
            </w:r>
            <w:r w:rsidR="00145412" w:rsidRPr="0006571C">
              <w:rPr>
                <w:rFonts w:asciiTheme="minorHAnsi" w:hAnsiTheme="minorHAnsi" w:cstheme="minorHAnsi"/>
                <w:b/>
                <w:sz w:val="22"/>
                <w:szCs w:val="22"/>
              </w:rPr>
              <w:br/>
            </w:r>
          </w:p>
          <w:p w14:paraId="2280E019" w14:textId="3EC00905" w:rsidR="00145412" w:rsidRPr="0006571C" w:rsidRDefault="00145412" w:rsidP="00FC2802">
            <w:pPr>
              <w:tabs>
                <w:tab w:val="left" w:pos="540"/>
              </w:tabs>
              <w:jc w:val="both"/>
              <w:rPr>
                <w:rFonts w:asciiTheme="minorHAnsi" w:hAnsiTheme="minorHAnsi" w:cstheme="minorHAnsi"/>
                <w:sz w:val="22"/>
                <w:szCs w:val="22"/>
              </w:rPr>
            </w:pPr>
            <w:r w:rsidRPr="0006571C">
              <w:rPr>
                <w:rFonts w:asciiTheme="minorHAnsi" w:hAnsiTheme="minorHAnsi" w:cstheme="minorHAnsi"/>
                <w:sz w:val="22"/>
                <w:szCs w:val="22"/>
              </w:rPr>
              <w:t xml:space="preserve">In close collaboration with local lead expert consultant, UNEP DTU Partnership, and the other local TNA consultants, the international expert consultant </w:t>
            </w:r>
            <w:r w:rsidRPr="005231CB">
              <w:rPr>
                <w:rFonts w:asciiTheme="minorHAnsi" w:hAnsiTheme="minorHAnsi" w:cstheme="minorHAnsi"/>
                <w:sz w:val="22"/>
                <w:szCs w:val="22"/>
              </w:rPr>
              <w:t xml:space="preserve">covering </w:t>
            </w:r>
            <w:r w:rsidR="002F1397">
              <w:rPr>
                <w:rFonts w:asciiTheme="minorHAnsi" w:hAnsiTheme="minorHAnsi" w:cstheme="minorHAnsi"/>
                <w:sz w:val="22"/>
                <w:szCs w:val="22"/>
              </w:rPr>
              <w:t>mitigation</w:t>
            </w:r>
            <w:r w:rsidRPr="0006571C">
              <w:rPr>
                <w:rFonts w:asciiTheme="minorHAnsi" w:hAnsiTheme="minorHAnsi" w:cstheme="minorHAnsi"/>
                <w:sz w:val="22"/>
                <w:szCs w:val="22"/>
              </w:rPr>
              <w:t xml:space="preserve"> will:</w:t>
            </w:r>
          </w:p>
          <w:p w14:paraId="4521EE5B" w14:textId="77777777" w:rsidR="00145412" w:rsidRPr="0006571C" w:rsidRDefault="00145412" w:rsidP="00FC2802">
            <w:pPr>
              <w:pStyle w:val="ListParagraph"/>
              <w:autoSpaceDE w:val="0"/>
              <w:autoSpaceDN w:val="0"/>
              <w:adjustRightInd w:val="0"/>
              <w:contextualSpacing w:val="0"/>
              <w:rPr>
                <w:rFonts w:asciiTheme="minorHAnsi" w:hAnsiTheme="minorHAnsi" w:cstheme="minorHAnsi"/>
                <w:sz w:val="22"/>
                <w:szCs w:val="22"/>
              </w:rPr>
            </w:pPr>
          </w:p>
          <w:p w14:paraId="41C1F9A4" w14:textId="77777777" w:rsidR="00420FAB" w:rsidRPr="0006571C" w:rsidRDefault="00420FAB" w:rsidP="00420FAB">
            <w:pPr>
              <w:pStyle w:val="ListParagraph"/>
              <w:numPr>
                <w:ilvl w:val="0"/>
                <w:numId w:val="21"/>
              </w:numPr>
              <w:rPr>
                <w:rFonts w:asciiTheme="minorHAnsi" w:hAnsiTheme="minorHAnsi" w:cstheme="minorHAnsi"/>
                <w:sz w:val="22"/>
                <w:szCs w:val="22"/>
              </w:rPr>
            </w:pPr>
            <w:r w:rsidRPr="0006571C">
              <w:rPr>
                <w:rFonts w:asciiTheme="minorHAnsi" w:hAnsiTheme="minorHAnsi" w:cstheme="minorHAnsi"/>
                <w:sz w:val="22"/>
                <w:szCs w:val="22"/>
              </w:rPr>
              <w:t xml:space="preserve">Provide feedback </w:t>
            </w:r>
            <w:r w:rsidR="007D1F28" w:rsidRPr="0006571C">
              <w:rPr>
                <w:rFonts w:asciiTheme="minorHAnsi" w:hAnsiTheme="minorHAnsi" w:cstheme="minorHAnsi"/>
                <w:sz w:val="22"/>
                <w:szCs w:val="22"/>
              </w:rPr>
              <w:t xml:space="preserve">to </w:t>
            </w:r>
            <w:r w:rsidRPr="0006571C">
              <w:rPr>
                <w:rFonts w:asciiTheme="minorHAnsi" w:hAnsiTheme="minorHAnsi" w:cstheme="minorHAnsi"/>
                <w:sz w:val="22"/>
                <w:szCs w:val="22"/>
              </w:rPr>
              <w:t>4 working group meeting agendas</w:t>
            </w:r>
          </w:p>
          <w:p w14:paraId="4992E796" w14:textId="77777777" w:rsidR="00933945" w:rsidRPr="0006571C" w:rsidRDefault="00933945" w:rsidP="00933945">
            <w:pPr>
              <w:pStyle w:val="ListParagraph"/>
              <w:rPr>
                <w:rFonts w:asciiTheme="minorHAnsi" w:hAnsiTheme="minorHAnsi" w:cstheme="minorHAnsi"/>
                <w:sz w:val="22"/>
                <w:szCs w:val="22"/>
              </w:rPr>
            </w:pPr>
          </w:p>
          <w:p w14:paraId="23CB4B9F" w14:textId="77777777" w:rsidR="00420FAB" w:rsidRPr="0006571C" w:rsidRDefault="00420FAB" w:rsidP="00420FAB">
            <w:pPr>
              <w:pStyle w:val="ListParagraph"/>
              <w:numPr>
                <w:ilvl w:val="0"/>
                <w:numId w:val="21"/>
              </w:numPr>
              <w:rPr>
                <w:rFonts w:asciiTheme="minorHAnsi" w:hAnsiTheme="minorHAnsi" w:cstheme="minorHAnsi"/>
                <w:sz w:val="22"/>
                <w:szCs w:val="22"/>
              </w:rPr>
            </w:pPr>
            <w:r w:rsidRPr="0006571C">
              <w:rPr>
                <w:rFonts w:asciiTheme="minorHAnsi" w:hAnsiTheme="minorHAnsi" w:cstheme="minorHAnsi"/>
                <w:sz w:val="22"/>
                <w:szCs w:val="22"/>
              </w:rPr>
              <w:t xml:space="preserve">Attend at least four sets of meetings as outlined in activity 1.3.1b, as outlined in the work plan. </w:t>
            </w:r>
          </w:p>
          <w:p w14:paraId="4920DC57" w14:textId="77777777" w:rsidR="00420FAB" w:rsidRPr="0006571C" w:rsidRDefault="00420FAB" w:rsidP="00420FAB">
            <w:pPr>
              <w:ind w:left="360"/>
              <w:rPr>
                <w:rFonts w:asciiTheme="minorHAnsi" w:hAnsiTheme="minorHAnsi" w:cstheme="minorHAnsi"/>
                <w:sz w:val="22"/>
                <w:szCs w:val="22"/>
              </w:rPr>
            </w:pPr>
          </w:p>
        </w:tc>
        <w:tc>
          <w:tcPr>
            <w:tcW w:w="2835" w:type="dxa"/>
          </w:tcPr>
          <w:p w14:paraId="0CB1DDAF" w14:textId="77777777" w:rsidR="00145412" w:rsidRPr="0006571C" w:rsidRDefault="00420FAB" w:rsidP="00420FAB">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Review the meeting agendas and provide feedback</w:t>
            </w:r>
          </w:p>
          <w:p w14:paraId="1E924184" w14:textId="77777777" w:rsidR="00420FAB" w:rsidRPr="0006571C" w:rsidRDefault="00420FAB" w:rsidP="00420FAB">
            <w:pPr>
              <w:autoSpaceDE w:val="0"/>
              <w:autoSpaceDN w:val="0"/>
              <w:adjustRightInd w:val="0"/>
              <w:rPr>
                <w:rFonts w:asciiTheme="minorHAnsi" w:hAnsiTheme="minorHAnsi" w:cstheme="minorHAnsi"/>
                <w:sz w:val="22"/>
                <w:szCs w:val="22"/>
              </w:rPr>
            </w:pPr>
          </w:p>
          <w:p w14:paraId="6BE82E9B" w14:textId="77777777" w:rsidR="00420FAB" w:rsidRPr="0006571C" w:rsidRDefault="00FC23AF" w:rsidP="007D1F28">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Participate in</w:t>
            </w:r>
            <w:r w:rsidR="004B0501" w:rsidRPr="0006571C">
              <w:rPr>
                <w:rFonts w:asciiTheme="minorHAnsi" w:hAnsiTheme="minorHAnsi" w:cstheme="minorHAnsi"/>
                <w:sz w:val="22"/>
                <w:szCs w:val="22"/>
              </w:rPr>
              <w:t xml:space="preserve"> 4 meetings (online)</w:t>
            </w:r>
          </w:p>
        </w:tc>
        <w:tc>
          <w:tcPr>
            <w:tcW w:w="1388" w:type="dxa"/>
          </w:tcPr>
          <w:p w14:paraId="4550DF5A" w14:textId="77777777" w:rsidR="00145412" w:rsidRPr="0006571C" w:rsidRDefault="00145412" w:rsidP="00FC2802">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4A956107" w14:textId="77777777" w:rsidR="00145412" w:rsidRPr="0006571C" w:rsidRDefault="007D1F28" w:rsidP="001B0115">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No in-country travel is required (or budgeted) for this task</w:t>
            </w:r>
          </w:p>
        </w:tc>
      </w:tr>
      <w:tr w:rsidR="00145412" w:rsidRPr="0006571C" w14:paraId="6C3C36E0" w14:textId="77777777" w:rsidTr="00933945">
        <w:tc>
          <w:tcPr>
            <w:tcW w:w="1134" w:type="dxa"/>
          </w:tcPr>
          <w:p w14:paraId="35EA5B82" w14:textId="77777777" w:rsidR="00145412" w:rsidRPr="0006571C" w:rsidRDefault="00145412" w:rsidP="00FC2802">
            <w:pPr>
              <w:rPr>
                <w:rFonts w:asciiTheme="minorHAnsi" w:hAnsiTheme="minorHAnsi" w:cstheme="minorHAnsi"/>
                <w:sz w:val="22"/>
                <w:szCs w:val="22"/>
              </w:rPr>
            </w:pPr>
            <w:r w:rsidRPr="0006571C">
              <w:rPr>
                <w:rFonts w:asciiTheme="minorHAnsi" w:hAnsiTheme="minorHAnsi" w:cstheme="minorHAnsi"/>
                <w:sz w:val="22"/>
                <w:szCs w:val="22"/>
              </w:rPr>
              <w:t>1.3.1c</w:t>
            </w:r>
          </w:p>
        </w:tc>
        <w:tc>
          <w:tcPr>
            <w:tcW w:w="5983" w:type="dxa"/>
          </w:tcPr>
          <w:p w14:paraId="7AC5578D" w14:textId="77777777" w:rsidR="00145412" w:rsidRPr="0006571C" w:rsidRDefault="00145412" w:rsidP="00FC2802">
            <w:pPr>
              <w:rPr>
                <w:rFonts w:asciiTheme="minorHAnsi" w:hAnsiTheme="minorHAnsi" w:cstheme="minorHAnsi"/>
                <w:b/>
                <w:sz w:val="22"/>
                <w:szCs w:val="22"/>
                <w:shd w:val="clear" w:color="auto" w:fill="E5DFEC"/>
              </w:rPr>
            </w:pPr>
            <w:r w:rsidRPr="0006571C">
              <w:rPr>
                <w:rFonts w:asciiTheme="minorHAnsi" w:hAnsiTheme="minorHAnsi" w:cstheme="minorHAnsi"/>
                <w:b/>
                <w:sz w:val="22"/>
                <w:szCs w:val="22"/>
                <w:shd w:val="clear" w:color="auto" w:fill="E5DFEC"/>
              </w:rPr>
              <w:t>Capacity building workshops</w:t>
            </w:r>
          </w:p>
          <w:p w14:paraId="7FBCA771" w14:textId="77777777" w:rsidR="00145412" w:rsidRPr="0006571C" w:rsidRDefault="00145412" w:rsidP="00FC2802">
            <w:pPr>
              <w:tabs>
                <w:tab w:val="left" w:pos="540"/>
              </w:tabs>
              <w:jc w:val="both"/>
              <w:rPr>
                <w:rFonts w:asciiTheme="minorHAnsi" w:hAnsiTheme="minorHAnsi" w:cstheme="minorHAnsi"/>
                <w:b/>
                <w:sz w:val="22"/>
                <w:szCs w:val="22"/>
              </w:rPr>
            </w:pPr>
          </w:p>
          <w:p w14:paraId="0370978F" w14:textId="77777777" w:rsidR="00145412" w:rsidRPr="0006571C" w:rsidRDefault="00145412" w:rsidP="00420FAB">
            <w:pPr>
              <w:pStyle w:val="ListParagraph"/>
              <w:numPr>
                <w:ilvl w:val="0"/>
                <w:numId w:val="21"/>
              </w:numPr>
              <w:rPr>
                <w:rFonts w:asciiTheme="minorHAnsi" w:hAnsiTheme="minorHAnsi" w:cstheme="minorHAnsi"/>
                <w:sz w:val="22"/>
                <w:szCs w:val="22"/>
              </w:rPr>
            </w:pPr>
            <w:r w:rsidRPr="0006571C">
              <w:rPr>
                <w:rFonts w:asciiTheme="minorHAnsi" w:hAnsiTheme="minorHAnsi" w:cstheme="minorHAnsi"/>
                <w:sz w:val="22"/>
                <w:szCs w:val="22"/>
              </w:rPr>
              <w:t>Supporting the preparation and completion of the respective capacity building workshop</w:t>
            </w:r>
            <w:r w:rsidR="00D01CEA" w:rsidRPr="0006571C">
              <w:rPr>
                <w:rFonts w:asciiTheme="minorHAnsi" w:hAnsiTheme="minorHAnsi" w:cstheme="minorHAnsi"/>
                <w:sz w:val="22"/>
                <w:szCs w:val="22"/>
              </w:rPr>
              <w:t>s</w:t>
            </w:r>
            <w:r w:rsidRPr="0006571C">
              <w:rPr>
                <w:rFonts w:asciiTheme="minorHAnsi" w:hAnsiTheme="minorHAnsi" w:cstheme="minorHAnsi"/>
                <w:sz w:val="22"/>
                <w:szCs w:val="22"/>
              </w:rPr>
              <w:t xml:space="preserve"> as outlined in the work plan, focussing on the sectoral TNA committee members and stakeholders, respectively.</w:t>
            </w:r>
          </w:p>
          <w:p w14:paraId="11730605" w14:textId="77777777" w:rsidR="00933945" w:rsidRPr="0006571C" w:rsidRDefault="00933945" w:rsidP="00933945">
            <w:pPr>
              <w:pStyle w:val="ListParagraph"/>
              <w:rPr>
                <w:rFonts w:asciiTheme="minorHAnsi" w:hAnsiTheme="minorHAnsi" w:cstheme="minorHAnsi"/>
                <w:sz w:val="22"/>
                <w:szCs w:val="22"/>
              </w:rPr>
            </w:pPr>
          </w:p>
          <w:p w14:paraId="04BAA2B8" w14:textId="77777777" w:rsidR="00420FAB" w:rsidRPr="0006571C" w:rsidRDefault="00420FAB" w:rsidP="00420FAB">
            <w:pPr>
              <w:pStyle w:val="ListParagraph"/>
              <w:numPr>
                <w:ilvl w:val="0"/>
                <w:numId w:val="21"/>
              </w:numPr>
              <w:rPr>
                <w:rFonts w:asciiTheme="minorHAnsi" w:hAnsiTheme="minorHAnsi" w:cstheme="minorHAnsi"/>
                <w:sz w:val="22"/>
                <w:szCs w:val="22"/>
              </w:rPr>
            </w:pPr>
            <w:r w:rsidRPr="0006571C">
              <w:rPr>
                <w:rFonts w:asciiTheme="minorHAnsi" w:hAnsiTheme="minorHAnsi" w:cstheme="minorHAnsi"/>
                <w:sz w:val="22"/>
                <w:szCs w:val="22"/>
              </w:rPr>
              <w:t>Participate in the two capacity building workshops for the Stakeholder groups, as outlined in the w</w:t>
            </w:r>
            <w:r w:rsidR="00933945" w:rsidRPr="0006571C">
              <w:rPr>
                <w:rFonts w:asciiTheme="minorHAnsi" w:hAnsiTheme="minorHAnsi" w:cstheme="minorHAnsi"/>
                <w:sz w:val="22"/>
                <w:szCs w:val="22"/>
              </w:rPr>
              <w:t>ork plan</w:t>
            </w:r>
          </w:p>
          <w:p w14:paraId="07012977" w14:textId="77777777" w:rsidR="00145412" w:rsidRPr="0006571C" w:rsidRDefault="00145412" w:rsidP="00FC2802">
            <w:pPr>
              <w:tabs>
                <w:tab w:val="left" w:pos="540"/>
              </w:tabs>
              <w:jc w:val="both"/>
              <w:rPr>
                <w:rFonts w:asciiTheme="minorHAnsi" w:hAnsiTheme="minorHAnsi" w:cstheme="minorHAnsi"/>
                <w:b/>
                <w:sz w:val="22"/>
                <w:szCs w:val="22"/>
              </w:rPr>
            </w:pPr>
          </w:p>
        </w:tc>
        <w:tc>
          <w:tcPr>
            <w:tcW w:w="2835" w:type="dxa"/>
          </w:tcPr>
          <w:p w14:paraId="52A06BAF" w14:textId="77777777" w:rsidR="00145412" w:rsidRPr="0006571C" w:rsidRDefault="008721B4" w:rsidP="00FC2802">
            <w:pPr>
              <w:autoSpaceDE w:val="0"/>
              <w:autoSpaceDN w:val="0"/>
              <w:adjustRightInd w:val="0"/>
              <w:rPr>
                <w:rFonts w:asciiTheme="minorHAnsi" w:hAnsiTheme="minorHAnsi" w:cstheme="minorHAnsi"/>
                <w:sz w:val="22"/>
                <w:szCs w:val="22"/>
                <w:u w:val="single"/>
              </w:rPr>
            </w:pPr>
            <w:r w:rsidRPr="0006571C">
              <w:rPr>
                <w:rFonts w:asciiTheme="minorHAnsi" w:hAnsiTheme="minorHAnsi" w:cstheme="minorHAnsi"/>
                <w:sz w:val="22"/>
                <w:szCs w:val="22"/>
              </w:rPr>
              <w:t>Participate in</w:t>
            </w:r>
            <w:r w:rsidR="00145412" w:rsidRPr="0006571C">
              <w:rPr>
                <w:rFonts w:asciiTheme="minorHAnsi" w:hAnsiTheme="minorHAnsi" w:cstheme="minorHAnsi"/>
                <w:sz w:val="22"/>
                <w:szCs w:val="22"/>
              </w:rPr>
              <w:t xml:space="preserve"> the workshops, preparation of materials, etc.</w:t>
            </w:r>
          </w:p>
        </w:tc>
        <w:tc>
          <w:tcPr>
            <w:tcW w:w="1388" w:type="dxa"/>
          </w:tcPr>
          <w:p w14:paraId="6F4FEDEA" w14:textId="77777777" w:rsidR="00145412" w:rsidRPr="0006571C" w:rsidRDefault="00145412" w:rsidP="00FC2802">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686725F0" w14:textId="75EBEF05" w:rsidR="00145412" w:rsidRPr="0006571C" w:rsidRDefault="00145412" w:rsidP="00FC2802">
            <w:pPr>
              <w:autoSpaceDE w:val="0"/>
              <w:autoSpaceDN w:val="0"/>
              <w:adjustRightInd w:val="0"/>
              <w:rPr>
                <w:rFonts w:asciiTheme="minorHAnsi" w:hAnsiTheme="minorHAnsi" w:cstheme="minorHAnsi"/>
                <w:sz w:val="22"/>
                <w:szCs w:val="22"/>
              </w:rPr>
            </w:pPr>
          </w:p>
          <w:p w14:paraId="582752CF" w14:textId="77777777" w:rsidR="00145412" w:rsidRPr="0006571C" w:rsidRDefault="00145412" w:rsidP="00FC2802">
            <w:pPr>
              <w:autoSpaceDE w:val="0"/>
              <w:autoSpaceDN w:val="0"/>
              <w:adjustRightInd w:val="0"/>
              <w:rPr>
                <w:rFonts w:asciiTheme="minorHAnsi" w:hAnsiTheme="minorHAnsi" w:cstheme="minorHAnsi"/>
                <w:sz w:val="22"/>
                <w:szCs w:val="22"/>
              </w:rPr>
            </w:pPr>
          </w:p>
          <w:p w14:paraId="77A0BB3E" w14:textId="77777777" w:rsidR="00145412" w:rsidRPr="0006571C" w:rsidRDefault="00145412" w:rsidP="00FC2802">
            <w:pPr>
              <w:autoSpaceDE w:val="0"/>
              <w:autoSpaceDN w:val="0"/>
              <w:adjustRightInd w:val="0"/>
              <w:rPr>
                <w:rFonts w:asciiTheme="minorHAnsi" w:hAnsiTheme="minorHAnsi" w:cstheme="minorHAnsi"/>
                <w:sz w:val="22"/>
                <w:szCs w:val="22"/>
              </w:rPr>
            </w:pPr>
          </w:p>
        </w:tc>
      </w:tr>
      <w:tr w:rsidR="00F12ADF" w:rsidRPr="0006571C" w14:paraId="4C21B9A1" w14:textId="77777777" w:rsidTr="00933945">
        <w:tc>
          <w:tcPr>
            <w:tcW w:w="1134" w:type="dxa"/>
          </w:tcPr>
          <w:p w14:paraId="5EAB158A" w14:textId="4F482941" w:rsidR="00F12ADF" w:rsidRPr="0006571C" w:rsidRDefault="00F12ADF" w:rsidP="00FC2802">
            <w:pPr>
              <w:rPr>
                <w:rFonts w:asciiTheme="minorHAnsi" w:hAnsiTheme="minorHAnsi" w:cstheme="minorHAnsi"/>
                <w:sz w:val="22"/>
                <w:szCs w:val="22"/>
              </w:rPr>
            </w:pPr>
            <w:r>
              <w:rPr>
                <w:rFonts w:asciiTheme="minorHAnsi" w:hAnsiTheme="minorHAnsi" w:cstheme="minorHAnsi"/>
                <w:sz w:val="22"/>
                <w:szCs w:val="22"/>
              </w:rPr>
              <w:t>1.3.1d</w:t>
            </w:r>
          </w:p>
        </w:tc>
        <w:tc>
          <w:tcPr>
            <w:tcW w:w="5983" w:type="dxa"/>
          </w:tcPr>
          <w:p w14:paraId="54145E35" w14:textId="77777777" w:rsidR="00F12ADF" w:rsidRDefault="00F12ADF" w:rsidP="00FC2802">
            <w:pPr>
              <w:rPr>
                <w:rFonts w:asciiTheme="minorHAnsi" w:hAnsiTheme="minorHAnsi" w:cstheme="minorHAnsi"/>
                <w:b/>
                <w:sz w:val="22"/>
                <w:szCs w:val="22"/>
                <w:shd w:val="clear" w:color="auto" w:fill="E5DFEC"/>
              </w:rPr>
            </w:pPr>
            <w:r>
              <w:rPr>
                <w:rFonts w:asciiTheme="minorHAnsi" w:hAnsiTheme="minorHAnsi" w:cstheme="minorHAnsi"/>
                <w:b/>
                <w:sz w:val="22"/>
                <w:szCs w:val="22"/>
                <w:shd w:val="clear" w:color="auto" w:fill="E5DFEC"/>
              </w:rPr>
              <w:t xml:space="preserve">Overarching Work plan </w:t>
            </w:r>
          </w:p>
          <w:p w14:paraId="47253079" w14:textId="77777777" w:rsidR="00F12ADF" w:rsidRDefault="00F12ADF" w:rsidP="00F12ADF">
            <w:pPr>
              <w:tabs>
                <w:tab w:val="left" w:pos="540"/>
              </w:tabs>
              <w:jc w:val="both"/>
              <w:rPr>
                <w:rFonts w:asciiTheme="minorHAnsi" w:hAnsiTheme="minorHAnsi" w:cstheme="minorHAnsi"/>
                <w:sz w:val="22"/>
                <w:szCs w:val="22"/>
              </w:rPr>
            </w:pPr>
          </w:p>
          <w:p w14:paraId="6D0EEB12" w14:textId="2971A8F4" w:rsidR="00F12ADF" w:rsidRPr="0006571C" w:rsidRDefault="00F12ADF" w:rsidP="00F12ADF">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The National TNA Experts will </w:t>
            </w:r>
            <w:r w:rsidRPr="002F1397">
              <w:rPr>
                <w:rFonts w:asciiTheme="minorHAnsi" w:hAnsiTheme="minorHAnsi" w:cstheme="minorHAnsi"/>
                <w:sz w:val="22"/>
                <w:szCs w:val="22"/>
              </w:rPr>
              <w:t>develop a</w:t>
            </w:r>
            <w:r w:rsidR="00EC17C1" w:rsidRPr="002F1397">
              <w:rPr>
                <w:rFonts w:asciiTheme="minorHAnsi" w:hAnsiTheme="minorHAnsi" w:cstheme="minorHAnsi"/>
                <w:sz w:val="22"/>
                <w:szCs w:val="22"/>
              </w:rPr>
              <w:t xml:space="preserve"> Work Plan </w:t>
            </w:r>
            <w:r w:rsidRPr="002F1397">
              <w:rPr>
                <w:rFonts w:asciiTheme="minorHAnsi" w:hAnsiTheme="minorHAnsi" w:cstheme="minorHAnsi"/>
                <w:sz w:val="22"/>
                <w:szCs w:val="22"/>
              </w:rPr>
              <w:t xml:space="preserve"> </w:t>
            </w:r>
            <w:r w:rsidR="00EC17C1" w:rsidRPr="002F1397">
              <w:rPr>
                <w:rFonts w:asciiTheme="minorHAnsi" w:hAnsiTheme="minorHAnsi" w:cstheme="minorHAnsi"/>
                <w:sz w:val="22"/>
                <w:szCs w:val="22"/>
              </w:rPr>
              <w:t xml:space="preserve"> </w:t>
            </w:r>
            <w:r w:rsidRPr="002F1397">
              <w:rPr>
                <w:rFonts w:asciiTheme="minorHAnsi" w:hAnsiTheme="minorHAnsi" w:cstheme="minorHAnsi"/>
                <w:sz w:val="22"/>
                <w:szCs w:val="22"/>
              </w:rPr>
              <w:t>for</w:t>
            </w:r>
            <w:r w:rsidRPr="00F12ADF">
              <w:rPr>
                <w:rFonts w:asciiTheme="minorHAnsi" w:hAnsiTheme="minorHAnsi" w:cstheme="minorHAnsi"/>
                <w:sz w:val="22"/>
                <w:szCs w:val="22"/>
              </w:rPr>
              <w:t xml:space="preserve"> the </w:t>
            </w:r>
            <w:r w:rsidR="005A3945">
              <w:rPr>
                <w:rFonts w:asciiTheme="minorHAnsi" w:hAnsiTheme="minorHAnsi" w:cstheme="minorHAnsi"/>
                <w:sz w:val="22"/>
                <w:szCs w:val="22"/>
              </w:rPr>
              <w:t>i</w:t>
            </w:r>
            <w:r w:rsidR="005A3945" w:rsidRPr="00F12ADF">
              <w:rPr>
                <w:rFonts w:asciiTheme="minorHAnsi" w:hAnsiTheme="minorHAnsi" w:cstheme="minorHAnsi"/>
                <w:sz w:val="22"/>
                <w:szCs w:val="22"/>
              </w:rPr>
              <w:t>mplementer</w:t>
            </w:r>
            <w:r w:rsidRPr="00F12ADF">
              <w:rPr>
                <w:rFonts w:asciiTheme="minorHAnsi" w:hAnsiTheme="minorHAnsi" w:cstheme="minorHAnsi"/>
                <w:sz w:val="22"/>
                <w:szCs w:val="22"/>
              </w:rPr>
              <w:t xml:space="preserve">, the stakeholder working groups and the TNA </w:t>
            </w:r>
            <w:r w:rsidRPr="00F12ADF">
              <w:rPr>
                <w:rFonts w:asciiTheme="minorHAnsi" w:hAnsiTheme="minorHAnsi" w:cstheme="minorHAnsi"/>
                <w:sz w:val="22"/>
                <w:szCs w:val="22"/>
              </w:rPr>
              <w:lastRenderedPageBreak/>
              <w:t>Committee to implement the Sectoral TNA activities under the present Readiness support</w:t>
            </w:r>
          </w:p>
          <w:p w14:paraId="64664658" w14:textId="00D9D559" w:rsidR="00F12ADF" w:rsidRPr="0006571C" w:rsidRDefault="00F12ADF" w:rsidP="00FC2802">
            <w:pPr>
              <w:rPr>
                <w:rFonts w:asciiTheme="minorHAnsi" w:hAnsiTheme="minorHAnsi" w:cstheme="minorHAnsi"/>
                <w:b/>
                <w:sz w:val="22"/>
                <w:szCs w:val="22"/>
                <w:shd w:val="clear" w:color="auto" w:fill="E5DFEC"/>
              </w:rPr>
            </w:pPr>
          </w:p>
        </w:tc>
        <w:tc>
          <w:tcPr>
            <w:tcW w:w="2835" w:type="dxa"/>
          </w:tcPr>
          <w:p w14:paraId="42A5776F" w14:textId="56A3B582" w:rsidR="00F12ADF" w:rsidRPr="0006571C" w:rsidRDefault="00F12ADF" w:rsidP="00FC2802">
            <w:pPr>
              <w:autoSpaceDE w:val="0"/>
              <w:autoSpaceDN w:val="0"/>
              <w:adjustRightInd w:val="0"/>
              <w:rPr>
                <w:rFonts w:asciiTheme="minorHAnsi" w:hAnsiTheme="minorHAnsi" w:cstheme="minorHAnsi"/>
                <w:sz w:val="22"/>
                <w:szCs w:val="22"/>
              </w:rPr>
            </w:pPr>
            <w:r>
              <w:rPr>
                <w:rFonts w:ascii="Calibri" w:hAnsi="Calibri" w:cs="Calibri"/>
                <w:color w:val="000000"/>
                <w:sz w:val="22"/>
                <w:szCs w:val="22"/>
              </w:rPr>
              <w:lastRenderedPageBreak/>
              <w:t>Review</w:t>
            </w:r>
            <w:r w:rsidRPr="004C4D5E">
              <w:rPr>
                <w:rFonts w:ascii="Calibri" w:hAnsi="Calibri" w:cs="Calibri"/>
                <w:color w:val="000000"/>
                <w:sz w:val="22"/>
                <w:szCs w:val="22"/>
              </w:rPr>
              <w:t xml:space="preserve"> </w:t>
            </w:r>
            <w:r>
              <w:rPr>
                <w:rFonts w:ascii="Calibri" w:hAnsi="Calibri" w:cs="Calibri"/>
                <w:color w:val="000000"/>
                <w:sz w:val="22"/>
                <w:szCs w:val="22"/>
              </w:rPr>
              <w:t xml:space="preserve">overarching </w:t>
            </w:r>
            <w:r w:rsidRPr="002F1397">
              <w:rPr>
                <w:rFonts w:ascii="Calibri" w:hAnsi="Calibri" w:cs="Calibri"/>
                <w:color w:val="000000"/>
                <w:sz w:val="22"/>
                <w:szCs w:val="22"/>
              </w:rPr>
              <w:t>work plan</w:t>
            </w:r>
            <w:r>
              <w:rPr>
                <w:rFonts w:ascii="Calibri" w:hAnsi="Calibri" w:cs="Calibri"/>
                <w:color w:val="000000"/>
                <w:sz w:val="22"/>
                <w:szCs w:val="22"/>
              </w:rPr>
              <w:t xml:space="preserve"> and</w:t>
            </w:r>
            <w:r w:rsidRPr="004C4D5E">
              <w:rPr>
                <w:rFonts w:ascii="Calibri" w:hAnsi="Calibri" w:cs="Calibri"/>
                <w:color w:val="000000"/>
                <w:sz w:val="22"/>
                <w:szCs w:val="22"/>
              </w:rPr>
              <w:t xml:space="preserve"> suggest feedback where needed</w:t>
            </w:r>
            <w:r w:rsidR="00BC7508">
              <w:rPr>
                <w:rFonts w:ascii="Calibri" w:hAnsi="Calibri" w:cs="Calibri"/>
                <w:color w:val="000000"/>
                <w:sz w:val="22"/>
                <w:szCs w:val="22"/>
              </w:rPr>
              <w:t xml:space="preserve"> </w:t>
            </w:r>
            <w:r w:rsidR="00BC7508">
              <w:rPr>
                <w:rFonts w:asciiTheme="minorHAnsi" w:hAnsiTheme="minorHAnsi" w:cstheme="minorHAnsi"/>
                <w:sz w:val="22"/>
                <w:szCs w:val="22"/>
              </w:rPr>
              <w:t>(maximum 2 x rounds of comments)</w:t>
            </w:r>
          </w:p>
        </w:tc>
        <w:tc>
          <w:tcPr>
            <w:tcW w:w="1388" w:type="dxa"/>
          </w:tcPr>
          <w:p w14:paraId="60E3B284" w14:textId="79B7CCD3" w:rsidR="00F12ADF" w:rsidRPr="0006571C" w:rsidRDefault="00F12ADF" w:rsidP="00FC2802">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1A445FF3" w14:textId="77777777" w:rsidR="00F12ADF" w:rsidRPr="0006571C" w:rsidDel="005231CB" w:rsidRDefault="00F12ADF" w:rsidP="00FC2802">
            <w:pPr>
              <w:autoSpaceDE w:val="0"/>
              <w:autoSpaceDN w:val="0"/>
              <w:adjustRightInd w:val="0"/>
              <w:rPr>
                <w:rFonts w:asciiTheme="minorHAnsi" w:hAnsiTheme="minorHAnsi" w:cstheme="minorHAnsi"/>
                <w:sz w:val="22"/>
                <w:szCs w:val="22"/>
              </w:rPr>
            </w:pPr>
          </w:p>
        </w:tc>
      </w:tr>
      <w:tr w:rsidR="00F12ADF" w:rsidRPr="0006571C" w14:paraId="14FC5742" w14:textId="77777777" w:rsidTr="00E2389D">
        <w:trPr>
          <w:trHeight w:val="416"/>
        </w:trPr>
        <w:tc>
          <w:tcPr>
            <w:tcW w:w="1134" w:type="dxa"/>
          </w:tcPr>
          <w:p w14:paraId="408B10B8" w14:textId="193ADFB4" w:rsidR="00F12ADF" w:rsidRPr="0006571C" w:rsidRDefault="00F12ADF" w:rsidP="00E2389D">
            <w:pPr>
              <w:rPr>
                <w:rFonts w:asciiTheme="minorHAnsi" w:hAnsiTheme="minorHAnsi" w:cstheme="minorHAnsi"/>
                <w:sz w:val="22"/>
                <w:szCs w:val="22"/>
              </w:rPr>
            </w:pPr>
            <w:r>
              <w:rPr>
                <w:rFonts w:asciiTheme="minorHAnsi" w:hAnsiTheme="minorHAnsi" w:cstheme="minorHAnsi"/>
                <w:sz w:val="22"/>
                <w:szCs w:val="22"/>
              </w:rPr>
              <w:t>2.2.1a</w:t>
            </w:r>
          </w:p>
        </w:tc>
        <w:tc>
          <w:tcPr>
            <w:tcW w:w="5983" w:type="dxa"/>
          </w:tcPr>
          <w:p w14:paraId="6F6590B2" w14:textId="77777777" w:rsidR="00F12ADF" w:rsidRDefault="00F12ADF" w:rsidP="00E2389D">
            <w:pPr>
              <w:rPr>
                <w:rFonts w:asciiTheme="minorHAnsi" w:hAnsiTheme="minorHAnsi" w:cstheme="minorHAnsi"/>
                <w:b/>
                <w:sz w:val="22"/>
                <w:szCs w:val="22"/>
                <w:shd w:val="clear" w:color="auto" w:fill="E5DFEC"/>
              </w:rPr>
            </w:pPr>
            <w:r>
              <w:rPr>
                <w:rFonts w:asciiTheme="minorHAnsi" w:hAnsiTheme="minorHAnsi" w:cstheme="minorHAnsi"/>
                <w:b/>
                <w:sz w:val="22"/>
                <w:szCs w:val="22"/>
                <w:shd w:val="clear" w:color="auto" w:fill="E5DFEC"/>
              </w:rPr>
              <w:t>S</w:t>
            </w:r>
            <w:r w:rsidRPr="00F12ADF">
              <w:rPr>
                <w:rFonts w:asciiTheme="minorHAnsi" w:hAnsiTheme="minorHAnsi" w:cstheme="minorHAnsi"/>
                <w:b/>
                <w:sz w:val="22"/>
                <w:szCs w:val="22"/>
                <w:shd w:val="clear" w:color="auto" w:fill="E5DFEC"/>
              </w:rPr>
              <w:t>ub-sectors for the Kyrgyz Republic Sectoral TNA</w:t>
            </w:r>
          </w:p>
          <w:p w14:paraId="01A3DD6D" w14:textId="77777777" w:rsidR="00F12ADF" w:rsidRDefault="00F12ADF" w:rsidP="00F12ADF">
            <w:pPr>
              <w:tabs>
                <w:tab w:val="center" w:pos="1260"/>
                <w:tab w:val="right" w:pos="9360"/>
              </w:tabs>
              <w:rPr>
                <w:rFonts w:asciiTheme="minorHAnsi" w:hAnsiTheme="minorHAnsi" w:cstheme="minorHAnsi"/>
                <w:sz w:val="22"/>
                <w:szCs w:val="22"/>
              </w:rPr>
            </w:pPr>
          </w:p>
          <w:p w14:paraId="745637C9" w14:textId="77777777" w:rsidR="00F12ADF" w:rsidRDefault="00BC7508" w:rsidP="00E2389D">
            <w:pPr>
              <w:rPr>
                <w:rFonts w:asciiTheme="minorHAnsi" w:hAnsiTheme="minorHAnsi" w:cstheme="minorHAnsi"/>
                <w:sz w:val="22"/>
                <w:szCs w:val="22"/>
              </w:rPr>
            </w:pPr>
            <w:r w:rsidRPr="00BC7508">
              <w:rPr>
                <w:rFonts w:asciiTheme="minorHAnsi" w:hAnsiTheme="minorHAnsi" w:cstheme="minorHAnsi"/>
                <w:sz w:val="22"/>
                <w:szCs w:val="22"/>
              </w:rPr>
              <w:t xml:space="preserve">The objective of this activity is to reach a consensus on the priority sub-sectors in which climate technologies </w:t>
            </w:r>
            <w:proofErr w:type="gramStart"/>
            <w:r w:rsidRPr="00BC7508">
              <w:rPr>
                <w:rFonts w:asciiTheme="minorHAnsi" w:hAnsiTheme="minorHAnsi" w:cstheme="minorHAnsi"/>
                <w:sz w:val="22"/>
                <w:szCs w:val="22"/>
              </w:rPr>
              <w:t>will be identified and prioritized</w:t>
            </w:r>
            <w:proofErr w:type="gramEnd"/>
            <w:r w:rsidRPr="00BC7508">
              <w:rPr>
                <w:rFonts w:asciiTheme="minorHAnsi" w:hAnsiTheme="minorHAnsi" w:cstheme="minorHAnsi"/>
                <w:sz w:val="22"/>
                <w:szCs w:val="22"/>
              </w:rPr>
              <w:t xml:space="preserve">. </w:t>
            </w:r>
          </w:p>
          <w:p w14:paraId="320D43BA" w14:textId="1F1B45EC" w:rsidR="00BC7508" w:rsidRPr="0006571C" w:rsidRDefault="00BC7508" w:rsidP="00E2389D">
            <w:pPr>
              <w:rPr>
                <w:rFonts w:asciiTheme="minorHAnsi" w:hAnsiTheme="minorHAnsi" w:cstheme="minorHAnsi"/>
                <w:b/>
                <w:sz w:val="22"/>
                <w:szCs w:val="22"/>
                <w:shd w:val="clear" w:color="auto" w:fill="E5DFEC"/>
              </w:rPr>
            </w:pPr>
          </w:p>
        </w:tc>
        <w:tc>
          <w:tcPr>
            <w:tcW w:w="2835" w:type="dxa"/>
          </w:tcPr>
          <w:p w14:paraId="41EC0B17" w14:textId="6A748C4B" w:rsidR="00F12ADF" w:rsidRPr="0006571C" w:rsidRDefault="00F12ADF" w:rsidP="00F12ADF">
            <w:pPr>
              <w:tabs>
                <w:tab w:val="center" w:pos="1260"/>
                <w:tab w:val="right" w:pos="9360"/>
              </w:tabs>
              <w:rPr>
                <w:rFonts w:asciiTheme="minorHAnsi" w:hAnsiTheme="minorHAnsi" w:cstheme="minorHAnsi"/>
                <w:sz w:val="22"/>
                <w:szCs w:val="22"/>
              </w:rPr>
            </w:pPr>
            <w:r>
              <w:rPr>
                <w:rFonts w:ascii="Calibri" w:hAnsi="Calibri" w:cs="Calibri"/>
                <w:color w:val="000000"/>
                <w:sz w:val="22"/>
                <w:szCs w:val="22"/>
              </w:rPr>
              <w:t xml:space="preserve">Review </w:t>
            </w:r>
            <w:r w:rsidRPr="004C4D5E">
              <w:rPr>
                <w:rFonts w:ascii="Calibri" w:hAnsi="Calibri" w:cs="Calibri"/>
                <w:color w:val="000000"/>
                <w:sz w:val="22"/>
                <w:szCs w:val="22"/>
              </w:rPr>
              <w:t xml:space="preserve">and suggest feedback </w:t>
            </w:r>
            <w:r>
              <w:rPr>
                <w:rFonts w:ascii="Calibri" w:hAnsi="Calibri" w:cs="Calibri"/>
                <w:color w:val="000000"/>
                <w:sz w:val="22"/>
                <w:szCs w:val="22"/>
              </w:rPr>
              <w:t>to the selected subsectors</w:t>
            </w:r>
            <w:r w:rsidR="00BC7508">
              <w:rPr>
                <w:rFonts w:ascii="Calibri" w:hAnsi="Calibri" w:cs="Calibri"/>
                <w:color w:val="000000"/>
                <w:sz w:val="22"/>
                <w:szCs w:val="22"/>
              </w:rPr>
              <w:t xml:space="preserve"> </w:t>
            </w:r>
            <w:r w:rsidR="00BC7508">
              <w:rPr>
                <w:rFonts w:asciiTheme="minorHAnsi" w:hAnsiTheme="minorHAnsi" w:cstheme="minorHAnsi"/>
                <w:sz w:val="22"/>
                <w:szCs w:val="22"/>
              </w:rPr>
              <w:t>(maximum 2 x rounds of comments)</w:t>
            </w:r>
          </w:p>
        </w:tc>
        <w:tc>
          <w:tcPr>
            <w:tcW w:w="1388" w:type="dxa"/>
          </w:tcPr>
          <w:p w14:paraId="17724700" w14:textId="36993B5D" w:rsidR="00F12ADF" w:rsidRPr="0006571C" w:rsidRDefault="00F12ADF" w:rsidP="00E2389D">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161A9615" w14:textId="77777777" w:rsidR="00F12ADF" w:rsidRPr="0006571C" w:rsidRDefault="00F12ADF" w:rsidP="00E2389D">
            <w:pPr>
              <w:autoSpaceDE w:val="0"/>
              <w:autoSpaceDN w:val="0"/>
              <w:adjustRightInd w:val="0"/>
              <w:rPr>
                <w:rFonts w:asciiTheme="minorHAnsi" w:hAnsiTheme="minorHAnsi" w:cstheme="minorHAnsi"/>
                <w:sz w:val="22"/>
                <w:szCs w:val="22"/>
                <w:u w:val="single"/>
              </w:rPr>
            </w:pPr>
          </w:p>
        </w:tc>
      </w:tr>
      <w:tr w:rsidR="00145412" w:rsidRPr="0006571C" w14:paraId="5392DC58" w14:textId="77777777" w:rsidTr="00933945">
        <w:trPr>
          <w:trHeight w:val="416"/>
        </w:trPr>
        <w:tc>
          <w:tcPr>
            <w:tcW w:w="1134" w:type="dxa"/>
          </w:tcPr>
          <w:p w14:paraId="5D122B3B" w14:textId="77777777" w:rsidR="00145412" w:rsidRPr="0006571C" w:rsidRDefault="00420FAB" w:rsidP="00FC2802">
            <w:pPr>
              <w:rPr>
                <w:rFonts w:asciiTheme="minorHAnsi" w:hAnsiTheme="minorHAnsi" w:cstheme="minorHAnsi"/>
                <w:sz w:val="22"/>
                <w:szCs w:val="22"/>
              </w:rPr>
            </w:pPr>
            <w:r w:rsidRPr="0006571C">
              <w:rPr>
                <w:rFonts w:asciiTheme="minorHAnsi" w:hAnsiTheme="minorHAnsi" w:cstheme="minorHAnsi"/>
                <w:sz w:val="22"/>
                <w:szCs w:val="22"/>
              </w:rPr>
              <w:t>2.2.1b</w:t>
            </w:r>
          </w:p>
        </w:tc>
        <w:tc>
          <w:tcPr>
            <w:tcW w:w="5983" w:type="dxa"/>
          </w:tcPr>
          <w:p w14:paraId="1D115A04" w14:textId="77777777" w:rsidR="00145412" w:rsidRPr="0006571C" w:rsidRDefault="00420FAB" w:rsidP="00FC2802">
            <w:pPr>
              <w:rPr>
                <w:rFonts w:asciiTheme="minorHAnsi" w:hAnsiTheme="minorHAnsi" w:cstheme="minorHAnsi"/>
                <w:sz w:val="22"/>
                <w:szCs w:val="22"/>
              </w:rPr>
            </w:pPr>
            <w:r w:rsidRPr="0006571C">
              <w:rPr>
                <w:rFonts w:asciiTheme="minorHAnsi" w:hAnsiTheme="minorHAnsi" w:cstheme="minorHAnsi"/>
                <w:b/>
                <w:sz w:val="22"/>
                <w:szCs w:val="22"/>
                <w:shd w:val="clear" w:color="auto" w:fill="E5DFEC"/>
              </w:rPr>
              <w:t>Select appropriate adaptation and mitigation technologies</w:t>
            </w:r>
          </w:p>
          <w:p w14:paraId="3DB70E4A" w14:textId="77777777" w:rsidR="00420FAB" w:rsidRPr="0006571C" w:rsidRDefault="00420FAB" w:rsidP="00FC2802">
            <w:pPr>
              <w:tabs>
                <w:tab w:val="center" w:pos="1260"/>
                <w:tab w:val="right" w:pos="9360"/>
              </w:tabs>
              <w:rPr>
                <w:rFonts w:asciiTheme="minorHAnsi" w:hAnsiTheme="minorHAnsi" w:cstheme="minorHAnsi"/>
                <w:sz w:val="22"/>
                <w:szCs w:val="22"/>
              </w:rPr>
            </w:pPr>
          </w:p>
          <w:p w14:paraId="32AC079F" w14:textId="42F9DDCC" w:rsidR="002B0E05" w:rsidRPr="0006571C" w:rsidRDefault="00145412" w:rsidP="00FC2802">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The international experts covering </w:t>
            </w:r>
            <w:r w:rsidR="002F1397">
              <w:rPr>
                <w:rFonts w:asciiTheme="minorHAnsi" w:hAnsiTheme="minorHAnsi" w:cstheme="minorHAnsi"/>
                <w:sz w:val="22"/>
                <w:szCs w:val="22"/>
              </w:rPr>
              <w:t>mitigation</w:t>
            </w:r>
            <w:r w:rsidRPr="0006571C">
              <w:rPr>
                <w:rFonts w:asciiTheme="minorHAnsi" w:hAnsiTheme="minorHAnsi" w:cstheme="minorHAnsi"/>
                <w:sz w:val="22"/>
                <w:szCs w:val="22"/>
              </w:rPr>
              <w:t xml:space="preserve"> will support the sectoral TNA Committee </w:t>
            </w:r>
            <w:r w:rsidR="00420FAB" w:rsidRPr="0006571C">
              <w:rPr>
                <w:rFonts w:asciiTheme="minorHAnsi" w:hAnsiTheme="minorHAnsi" w:cstheme="minorHAnsi"/>
                <w:sz w:val="22"/>
                <w:szCs w:val="22"/>
              </w:rPr>
              <w:t xml:space="preserve">in conducting a four-day workshop with the stakeholder groups to select the relevant </w:t>
            </w:r>
            <w:r w:rsidR="002F1397">
              <w:rPr>
                <w:rFonts w:asciiTheme="minorHAnsi" w:hAnsiTheme="minorHAnsi" w:cstheme="minorHAnsi"/>
                <w:sz w:val="22"/>
                <w:szCs w:val="22"/>
              </w:rPr>
              <w:t>mitigation</w:t>
            </w:r>
            <w:r w:rsidR="00420FAB" w:rsidRPr="0006571C">
              <w:rPr>
                <w:rFonts w:asciiTheme="minorHAnsi" w:hAnsiTheme="minorHAnsi" w:cstheme="minorHAnsi"/>
                <w:sz w:val="22"/>
                <w:szCs w:val="22"/>
              </w:rPr>
              <w:t xml:space="preserve"> technologies</w:t>
            </w:r>
          </w:p>
          <w:p w14:paraId="0CAD3755" w14:textId="77777777" w:rsidR="00145412" w:rsidRPr="0006571C" w:rsidRDefault="00145412" w:rsidP="00FC2802">
            <w:pPr>
              <w:tabs>
                <w:tab w:val="center" w:pos="1260"/>
                <w:tab w:val="right" w:pos="9360"/>
              </w:tabs>
              <w:rPr>
                <w:rFonts w:asciiTheme="minorHAnsi" w:hAnsiTheme="minorHAnsi" w:cstheme="minorHAnsi"/>
                <w:sz w:val="22"/>
                <w:szCs w:val="22"/>
              </w:rPr>
            </w:pPr>
          </w:p>
        </w:tc>
        <w:tc>
          <w:tcPr>
            <w:tcW w:w="2835" w:type="dxa"/>
          </w:tcPr>
          <w:p w14:paraId="6C305FD0" w14:textId="77777777" w:rsidR="00145412" w:rsidRPr="0006571C" w:rsidRDefault="002B0E05" w:rsidP="00FC2802">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Participate in</w:t>
            </w:r>
            <w:r w:rsidR="00420FAB" w:rsidRPr="0006571C">
              <w:rPr>
                <w:rFonts w:asciiTheme="minorHAnsi" w:hAnsiTheme="minorHAnsi" w:cstheme="minorHAnsi"/>
                <w:sz w:val="22"/>
                <w:szCs w:val="22"/>
              </w:rPr>
              <w:t xml:space="preserve"> the workshops, preparation of materials, etc.</w:t>
            </w:r>
          </w:p>
          <w:p w14:paraId="16D8A7A6" w14:textId="77777777" w:rsidR="00145412" w:rsidRPr="0006571C" w:rsidRDefault="00145412" w:rsidP="00FC2802">
            <w:pPr>
              <w:autoSpaceDE w:val="0"/>
              <w:autoSpaceDN w:val="0"/>
              <w:adjustRightInd w:val="0"/>
              <w:rPr>
                <w:rFonts w:asciiTheme="minorHAnsi" w:hAnsiTheme="minorHAnsi" w:cstheme="minorHAnsi"/>
                <w:sz w:val="22"/>
                <w:szCs w:val="22"/>
              </w:rPr>
            </w:pPr>
          </w:p>
          <w:p w14:paraId="10A4532A" w14:textId="0C2A8770" w:rsidR="002E7262" w:rsidRPr="0006571C" w:rsidRDefault="0067592F" w:rsidP="00FC2802">
            <w:pPr>
              <w:autoSpaceDE w:val="0"/>
              <w:autoSpaceDN w:val="0"/>
              <w:adjustRightInd w:val="0"/>
              <w:rPr>
                <w:rFonts w:asciiTheme="minorHAnsi" w:hAnsiTheme="minorHAnsi" w:cstheme="minorHAnsi"/>
                <w:sz w:val="22"/>
                <w:szCs w:val="22"/>
              </w:rPr>
            </w:pPr>
            <w:r w:rsidRPr="0006571C">
              <w:rPr>
                <w:rFonts w:asciiTheme="minorHAnsi" w:hAnsiTheme="minorHAnsi" w:cstheme="minorHAnsi"/>
                <w:sz w:val="22"/>
                <w:szCs w:val="22"/>
              </w:rPr>
              <w:t xml:space="preserve">Review the </w:t>
            </w:r>
            <w:r w:rsidR="00456E95">
              <w:rPr>
                <w:rFonts w:asciiTheme="minorHAnsi" w:hAnsiTheme="minorHAnsi" w:cstheme="minorHAnsi"/>
                <w:sz w:val="22"/>
                <w:szCs w:val="22"/>
              </w:rPr>
              <w:t>TNA</w:t>
            </w:r>
            <w:r w:rsidR="00456E95" w:rsidRPr="0006571C">
              <w:rPr>
                <w:rFonts w:asciiTheme="minorHAnsi" w:hAnsiTheme="minorHAnsi" w:cstheme="minorHAnsi"/>
                <w:sz w:val="22"/>
                <w:szCs w:val="22"/>
              </w:rPr>
              <w:t xml:space="preserve"> </w:t>
            </w:r>
            <w:r w:rsidRPr="0006571C">
              <w:rPr>
                <w:rFonts w:asciiTheme="minorHAnsi" w:hAnsiTheme="minorHAnsi" w:cstheme="minorHAnsi"/>
                <w:sz w:val="22"/>
                <w:szCs w:val="22"/>
              </w:rPr>
              <w:t xml:space="preserve">report, provide substantive </w:t>
            </w:r>
            <w:r w:rsidR="002E7262" w:rsidRPr="0006571C">
              <w:rPr>
                <w:rFonts w:asciiTheme="minorHAnsi" w:hAnsiTheme="minorHAnsi" w:cstheme="minorHAnsi"/>
                <w:sz w:val="22"/>
                <w:szCs w:val="22"/>
              </w:rPr>
              <w:t xml:space="preserve">feedback </w:t>
            </w:r>
            <w:r w:rsidRPr="0006571C">
              <w:rPr>
                <w:rFonts w:asciiTheme="minorHAnsi" w:hAnsiTheme="minorHAnsi" w:cstheme="minorHAnsi"/>
                <w:sz w:val="22"/>
                <w:szCs w:val="22"/>
              </w:rPr>
              <w:t xml:space="preserve">as </w:t>
            </w:r>
            <w:r w:rsidR="002E7262" w:rsidRPr="0006571C">
              <w:rPr>
                <w:rFonts w:asciiTheme="minorHAnsi" w:hAnsiTheme="minorHAnsi" w:cstheme="minorHAnsi"/>
                <w:sz w:val="22"/>
                <w:szCs w:val="22"/>
              </w:rPr>
              <w:t>needed</w:t>
            </w:r>
          </w:p>
          <w:p w14:paraId="0B172D28" w14:textId="77777777" w:rsidR="0067592F" w:rsidRPr="0006571C" w:rsidRDefault="0067592F" w:rsidP="00FC2802">
            <w:pPr>
              <w:autoSpaceDE w:val="0"/>
              <w:autoSpaceDN w:val="0"/>
              <w:adjustRightInd w:val="0"/>
              <w:rPr>
                <w:rFonts w:asciiTheme="minorHAnsi" w:hAnsiTheme="minorHAnsi" w:cstheme="minorHAnsi"/>
                <w:sz w:val="22"/>
                <w:szCs w:val="22"/>
              </w:rPr>
            </w:pPr>
          </w:p>
        </w:tc>
        <w:tc>
          <w:tcPr>
            <w:tcW w:w="1388" w:type="dxa"/>
          </w:tcPr>
          <w:p w14:paraId="132C022B" w14:textId="77777777" w:rsidR="00145412" w:rsidRPr="0006571C" w:rsidRDefault="00145412" w:rsidP="00FC2802">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1A5BECA9" w14:textId="77777777" w:rsidR="00145412" w:rsidRPr="0006571C" w:rsidRDefault="00145412" w:rsidP="00FC2802">
            <w:pPr>
              <w:autoSpaceDE w:val="0"/>
              <w:autoSpaceDN w:val="0"/>
              <w:adjustRightInd w:val="0"/>
              <w:rPr>
                <w:rFonts w:asciiTheme="minorHAnsi" w:hAnsiTheme="minorHAnsi" w:cstheme="minorHAnsi"/>
                <w:sz w:val="22"/>
                <w:szCs w:val="22"/>
                <w:u w:val="single"/>
              </w:rPr>
            </w:pPr>
          </w:p>
        </w:tc>
      </w:tr>
      <w:tr w:rsidR="00984B5F" w:rsidRPr="0006571C" w14:paraId="2E6D9260" w14:textId="77777777" w:rsidTr="00933945">
        <w:trPr>
          <w:trHeight w:val="416"/>
        </w:trPr>
        <w:tc>
          <w:tcPr>
            <w:tcW w:w="1134" w:type="dxa"/>
          </w:tcPr>
          <w:p w14:paraId="441C0AB6" w14:textId="2586EC7B" w:rsidR="00984B5F" w:rsidRPr="0006571C" w:rsidRDefault="00984B5F" w:rsidP="00984B5F">
            <w:pPr>
              <w:rPr>
                <w:rFonts w:asciiTheme="minorHAnsi" w:hAnsiTheme="minorHAnsi" w:cstheme="minorHAnsi"/>
                <w:sz w:val="22"/>
                <w:szCs w:val="22"/>
              </w:rPr>
            </w:pPr>
            <w:r w:rsidRPr="0006571C">
              <w:rPr>
                <w:rFonts w:asciiTheme="minorHAnsi" w:hAnsiTheme="minorHAnsi" w:cstheme="minorHAnsi"/>
                <w:sz w:val="22"/>
                <w:szCs w:val="22"/>
              </w:rPr>
              <w:t>2.2.2a</w:t>
            </w:r>
          </w:p>
        </w:tc>
        <w:tc>
          <w:tcPr>
            <w:tcW w:w="5983" w:type="dxa"/>
          </w:tcPr>
          <w:p w14:paraId="02D3D3CB" w14:textId="0D326A66" w:rsidR="00984B5F" w:rsidRPr="0006571C" w:rsidRDefault="002F1397" w:rsidP="00984B5F">
            <w:pPr>
              <w:tabs>
                <w:tab w:val="center" w:pos="1260"/>
                <w:tab w:val="right" w:pos="9360"/>
              </w:tabs>
              <w:rPr>
                <w:rFonts w:asciiTheme="minorHAnsi" w:hAnsiTheme="minorHAnsi" w:cstheme="minorHAnsi"/>
                <w:b/>
                <w:sz w:val="22"/>
                <w:szCs w:val="22"/>
                <w:shd w:val="clear" w:color="auto" w:fill="E5DFEC"/>
              </w:rPr>
            </w:pPr>
            <w:r w:rsidRPr="0006571C">
              <w:rPr>
                <w:rFonts w:asciiTheme="minorHAnsi" w:hAnsiTheme="minorHAnsi" w:cstheme="minorHAnsi"/>
                <w:b/>
                <w:sz w:val="22"/>
                <w:szCs w:val="22"/>
                <w:shd w:val="clear" w:color="auto" w:fill="E5DFEC"/>
              </w:rPr>
              <w:t>Analyse</w:t>
            </w:r>
            <w:r w:rsidR="00984B5F" w:rsidRPr="0006571C">
              <w:rPr>
                <w:rFonts w:asciiTheme="minorHAnsi" w:hAnsiTheme="minorHAnsi" w:cstheme="minorHAnsi"/>
                <w:b/>
                <w:sz w:val="22"/>
                <w:szCs w:val="22"/>
                <w:shd w:val="clear" w:color="auto" w:fill="E5DFEC"/>
              </w:rPr>
              <w:t xml:space="preserve"> barriers that prevent appropriate adaptation and mitigation technologies from being introduced and/or disseminated in the Kyrgyz Republic</w:t>
            </w:r>
          </w:p>
          <w:p w14:paraId="1370C6E6" w14:textId="77777777" w:rsidR="00984B5F" w:rsidRPr="0006571C" w:rsidRDefault="00984B5F" w:rsidP="00984B5F">
            <w:pPr>
              <w:tabs>
                <w:tab w:val="center" w:pos="1260"/>
                <w:tab w:val="right" w:pos="9360"/>
              </w:tabs>
              <w:rPr>
                <w:rFonts w:asciiTheme="minorHAnsi" w:hAnsiTheme="minorHAnsi" w:cstheme="minorHAnsi"/>
                <w:sz w:val="22"/>
                <w:szCs w:val="22"/>
              </w:rPr>
            </w:pPr>
          </w:p>
          <w:p w14:paraId="688B2937" w14:textId="44B0A882" w:rsidR="00984B5F" w:rsidRPr="0006571C" w:rsidRDefault="00984B5F" w:rsidP="00984B5F">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The international </w:t>
            </w:r>
            <w:r w:rsidRPr="002F1397">
              <w:rPr>
                <w:rFonts w:asciiTheme="minorHAnsi" w:hAnsiTheme="minorHAnsi" w:cstheme="minorHAnsi"/>
                <w:sz w:val="22"/>
                <w:szCs w:val="22"/>
              </w:rPr>
              <w:t xml:space="preserve">experts covering </w:t>
            </w:r>
            <w:r w:rsidR="002F1397">
              <w:rPr>
                <w:rFonts w:asciiTheme="minorHAnsi" w:hAnsiTheme="minorHAnsi" w:cstheme="minorHAnsi"/>
                <w:sz w:val="22"/>
                <w:szCs w:val="22"/>
              </w:rPr>
              <w:t>mitigation</w:t>
            </w:r>
            <w:r w:rsidRPr="002F1397">
              <w:rPr>
                <w:rFonts w:asciiTheme="minorHAnsi" w:hAnsiTheme="minorHAnsi" w:cstheme="minorHAnsi"/>
                <w:sz w:val="22"/>
                <w:szCs w:val="22"/>
              </w:rPr>
              <w:t xml:space="preserve"> will support conducting a two-day workshop with the stakeholder groups to select the relevant mitigation technologies</w:t>
            </w:r>
          </w:p>
          <w:p w14:paraId="3DB914A6" w14:textId="77777777" w:rsidR="00984B5F" w:rsidRPr="0006571C" w:rsidRDefault="00984B5F" w:rsidP="00984B5F">
            <w:pPr>
              <w:rPr>
                <w:rFonts w:asciiTheme="minorHAnsi" w:hAnsiTheme="minorHAnsi" w:cstheme="minorHAnsi"/>
                <w:b/>
                <w:sz w:val="22"/>
                <w:szCs w:val="22"/>
                <w:shd w:val="clear" w:color="auto" w:fill="E5DFEC"/>
              </w:rPr>
            </w:pPr>
          </w:p>
        </w:tc>
        <w:tc>
          <w:tcPr>
            <w:tcW w:w="2835" w:type="dxa"/>
          </w:tcPr>
          <w:p w14:paraId="0059ECD7" w14:textId="77777777" w:rsidR="00984B5F" w:rsidRPr="0006571C" w:rsidRDefault="00984B5F" w:rsidP="00984B5F">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Participate in the workshops, preparation of materials, etc.</w:t>
            </w:r>
          </w:p>
          <w:p w14:paraId="14DFA0FE" w14:textId="77777777" w:rsidR="00984B5F" w:rsidRPr="0006571C" w:rsidRDefault="00984B5F" w:rsidP="00984B5F">
            <w:pPr>
              <w:tabs>
                <w:tab w:val="center" w:pos="1260"/>
                <w:tab w:val="right" w:pos="9360"/>
              </w:tabs>
              <w:rPr>
                <w:rFonts w:asciiTheme="minorHAnsi" w:hAnsiTheme="minorHAnsi" w:cstheme="minorHAnsi"/>
                <w:sz w:val="22"/>
                <w:szCs w:val="22"/>
              </w:rPr>
            </w:pPr>
          </w:p>
          <w:p w14:paraId="622FDC2E" w14:textId="4821C1F1" w:rsidR="002E7262" w:rsidRPr="0006571C" w:rsidRDefault="002E7262" w:rsidP="00984B5F">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Review and provide feedback on the barrier-analysis report</w:t>
            </w:r>
            <w:r w:rsidR="00456E95">
              <w:rPr>
                <w:rFonts w:asciiTheme="minorHAnsi" w:hAnsiTheme="minorHAnsi" w:cstheme="minorHAnsi"/>
                <w:sz w:val="22"/>
                <w:szCs w:val="22"/>
              </w:rPr>
              <w:t xml:space="preserve"> (maximum 2 x rounds of comments)</w:t>
            </w:r>
          </w:p>
        </w:tc>
        <w:tc>
          <w:tcPr>
            <w:tcW w:w="1388" w:type="dxa"/>
          </w:tcPr>
          <w:p w14:paraId="611EC9D9" w14:textId="77777777" w:rsidR="00984B5F" w:rsidRPr="0006571C" w:rsidRDefault="00984B5F" w:rsidP="00984B5F">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753286E2" w14:textId="77777777" w:rsidR="00984B5F" w:rsidRPr="0006571C" w:rsidRDefault="00984B5F" w:rsidP="00984B5F">
            <w:pPr>
              <w:autoSpaceDE w:val="0"/>
              <w:autoSpaceDN w:val="0"/>
              <w:adjustRightInd w:val="0"/>
              <w:rPr>
                <w:rFonts w:asciiTheme="minorHAnsi" w:hAnsiTheme="minorHAnsi" w:cstheme="minorHAnsi"/>
                <w:sz w:val="22"/>
                <w:szCs w:val="22"/>
                <w:u w:val="single"/>
              </w:rPr>
            </w:pPr>
          </w:p>
        </w:tc>
      </w:tr>
      <w:tr w:rsidR="00984B5F" w:rsidRPr="0006571C" w14:paraId="5D4FD945" w14:textId="77777777" w:rsidTr="00933945">
        <w:trPr>
          <w:trHeight w:val="416"/>
        </w:trPr>
        <w:tc>
          <w:tcPr>
            <w:tcW w:w="1134" w:type="dxa"/>
          </w:tcPr>
          <w:p w14:paraId="3C953388" w14:textId="56E1491D" w:rsidR="00984B5F" w:rsidRPr="0006571C" w:rsidRDefault="00984B5F" w:rsidP="00984B5F">
            <w:pPr>
              <w:rPr>
                <w:rFonts w:asciiTheme="minorHAnsi" w:hAnsiTheme="minorHAnsi" w:cstheme="minorHAnsi"/>
                <w:sz w:val="22"/>
                <w:szCs w:val="22"/>
              </w:rPr>
            </w:pPr>
            <w:r w:rsidRPr="0006571C">
              <w:rPr>
                <w:rFonts w:asciiTheme="minorHAnsi" w:hAnsiTheme="minorHAnsi" w:cstheme="minorHAnsi"/>
                <w:sz w:val="22"/>
                <w:szCs w:val="22"/>
              </w:rPr>
              <w:t>2.2.2b</w:t>
            </w:r>
          </w:p>
        </w:tc>
        <w:tc>
          <w:tcPr>
            <w:tcW w:w="5983" w:type="dxa"/>
          </w:tcPr>
          <w:p w14:paraId="42E6CD43" w14:textId="77777777" w:rsidR="00984B5F" w:rsidRPr="0006571C" w:rsidRDefault="00984B5F" w:rsidP="00984B5F">
            <w:pPr>
              <w:tabs>
                <w:tab w:val="center" w:pos="1260"/>
                <w:tab w:val="right" w:pos="9360"/>
              </w:tabs>
              <w:rPr>
                <w:rFonts w:asciiTheme="minorHAnsi" w:hAnsiTheme="minorHAnsi" w:cstheme="minorHAnsi"/>
                <w:b/>
                <w:sz w:val="22"/>
                <w:szCs w:val="22"/>
                <w:shd w:val="clear" w:color="auto" w:fill="E5DFEC"/>
              </w:rPr>
            </w:pPr>
            <w:r w:rsidRPr="0006571C">
              <w:rPr>
                <w:rFonts w:asciiTheme="minorHAnsi" w:hAnsiTheme="minorHAnsi" w:cstheme="minorHAnsi"/>
                <w:b/>
                <w:sz w:val="22"/>
                <w:szCs w:val="22"/>
                <w:shd w:val="clear" w:color="auto" w:fill="E5DFEC"/>
              </w:rPr>
              <w:t xml:space="preserve">Develop and validate a Technology Action Plan to introduce and disseminate the selected technologies </w:t>
            </w:r>
          </w:p>
          <w:p w14:paraId="2B5D498D" w14:textId="77777777" w:rsidR="00984B5F" w:rsidRPr="0006571C" w:rsidRDefault="00984B5F" w:rsidP="00984B5F">
            <w:pPr>
              <w:tabs>
                <w:tab w:val="center" w:pos="1260"/>
                <w:tab w:val="right" w:pos="9360"/>
              </w:tabs>
              <w:rPr>
                <w:rFonts w:asciiTheme="minorHAnsi" w:hAnsiTheme="minorHAnsi" w:cstheme="minorHAnsi"/>
                <w:sz w:val="22"/>
                <w:szCs w:val="22"/>
              </w:rPr>
            </w:pPr>
          </w:p>
          <w:p w14:paraId="34DB6144" w14:textId="51426797" w:rsidR="00984B5F" w:rsidRPr="0006571C" w:rsidRDefault="00984B5F" w:rsidP="00984B5F">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The international experts covering </w:t>
            </w:r>
            <w:r w:rsidR="002F1397">
              <w:rPr>
                <w:rFonts w:asciiTheme="minorHAnsi" w:hAnsiTheme="minorHAnsi" w:cstheme="minorHAnsi"/>
                <w:sz w:val="22"/>
                <w:szCs w:val="22"/>
              </w:rPr>
              <w:t>mitigation</w:t>
            </w:r>
            <w:r w:rsidRPr="0006571C">
              <w:rPr>
                <w:rFonts w:asciiTheme="minorHAnsi" w:hAnsiTheme="minorHAnsi" w:cstheme="minorHAnsi"/>
                <w:sz w:val="22"/>
                <w:szCs w:val="22"/>
              </w:rPr>
              <w:t xml:space="preserve"> will participate in the two-day TAP validation workshop prepared by the local consultants. </w:t>
            </w:r>
          </w:p>
          <w:p w14:paraId="5F2F4CA3" w14:textId="77777777" w:rsidR="00984B5F" w:rsidRPr="0006571C" w:rsidRDefault="00984B5F" w:rsidP="00984B5F">
            <w:pPr>
              <w:tabs>
                <w:tab w:val="center" w:pos="1260"/>
                <w:tab w:val="right" w:pos="9360"/>
              </w:tabs>
              <w:rPr>
                <w:rFonts w:asciiTheme="minorHAnsi" w:hAnsiTheme="minorHAnsi" w:cstheme="minorHAnsi"/>
                <w:b/>
                <w:sz w:val="22"/>
                <w:szCs w:val="22"/>
                <w:shd w:val="clear" w:color="auto" w:fill="E5DFEC"/>
              </w:rPr>
            </w:pPr>
          </w:p>
        </w:tc>
        <w:tc>
          <w:tcPr>
            <w:tcW w:w="2835" w:type="dxa"/>
          </w:tcPr>
          <w:p w14:paraId="349BE860" w14:textId="34C912CB" w:rsidR="00984B5F" w:rsidRPr="0006571C" w:rsidRDefault="00984B5F" w:rsidP="00984B5F">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Participate in the workshops, reflect and suggest changes if needed</w:t>
            </w:r>
            <w:r w:rsidR="00456E95">
              <w:rPr>
                <w:rFonts w:asciiTheme="minorHAnsi" w:hAnsiTheme="minorHAnsi" w:cstheme="minorHAnsi"/>
                <w:sz w:val="22"/>
                <w:szCs w:val="22"/>
              </w:rPr>
              <w:t>, plus provide maximum 2 x reviews of the TAP report.</w:t>
            </w:r>
          </w:p>
        </w:tc>
        <w:tc>
          <w:tcPr>
            <w:tcW w:w="1388" w:type="dxa"/>
          </w:tcPr>
          <w:p w14:paraId="5C2E7893" w14:textId="77777777" w:rsidR="00984B5F" w:rsidRPr="0006571C" w:rsidRDefault="00984B5F" w:rsidP="00984B5F">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7DD4871A" w14:textId="77777777" w:rsidR="00984B5F" w:rsidRPr="0006571C" w:rsidRDefault="00984B5F" w:rsidP="00984B5F">
            <w:pPr>
              <w:autoSpaceDE w:val="0"/>
              <w:autoSpaceDN w:val="0"/>
              <w:adjustRightInd w:val="0"/>
              <w:rPr>
                <w:rFonts w:asciiTheme="minorHAnsi" w:hAnsiTheme="minorHAnsi" w:cstheme="minorHAnsi"/>
                <w:sz w:val="22"/>
                <w:szCs w:val="22"/>
                <w:u w:val="single"/>
              </w:rPr>
            </w:pPr>
          </w:p>
        </w:tc>
      </w:tr>
      <w:tr w:rsidR="00BC7508" w:rsidRPr="0006571C" w14:paraId="4D351471" w14:textId="77777777" w:rsidTr="00933945">
        <w:trPr>
          <w:trHeight w:val="416"/>
        </w:trPr>
        <w:tc>
          <w:tcPr>
            <w:tcW w:w="1134" w:type="dxa"/>
          </w:tcPr>
          <w:p w14:paraId="3AAD8406" w14:textId="4C475C85" w:rsidR="00BC7508" w:rsidRPr="0006571C" w:rsidRDefault="00BC7508" w:rsidP="00BC7508">
            <w:pPr>
              <w:rPr>
                <w:rFonts w:asciiTheme="minorHAnsi" w:hAnsiTheme="minorHAnsi" w:cstheme="minorHAnsi"/>
                <w:sz w:val="22"/>
                <w:szCs w:val="22"/>
              </w:rPr>
            </w:pPr>
            <w:r>
              <w:rPr>
                <w:rFonts w:asciiTheme="minorHAnsi" w:hAnsiTheme="minorHAnsi" w:cstheme="minorHAnsi"/>
                <w:sz w:val="22"/>
                <w:szCs w:val="22"/>
              </w:rPr>
              <w:t>2.4.1a</w:t>
            </w:r>
          </w:p>
        </w:tc>
        <w:tc>
          <w:tcPr>
            <w:tcW w:w="5983" w:type="dxa"/>
          </w:tcPr>
          <w:p w14:paraId="09A4CE31" w14:textId="77777777" w:rsidR="00BC7508" w:rsidRDefault="00BC7508" w:rsidP="00BC7508">
            <w:pPr>
              <w:tabs>
                <w:tab w:val="center" w:pos="1260"/>
                <w:tab w:val="right" w:pos="9360"/>
              </w:tabs>
              <w:rPr>
                <w:rFonts w:asciiTheme="minorHAnsi" w:hAnsiTheme="minorHAnsi" w:cstheme="minorHAnsi"/>
                <w:b/>
                <w:sz w:val="22"/>
                <w:szCs w:val="22"/>
                <w:shd w:val="clear" w:color="auto" w:fill="E5DFEC"/>
              </w:rPr>
            </w:pPr>
            <w:r w:rsidRPr="00BC7508">
              <w:rPr>
                <w:rFonts w:asciiTheme="minorHAnsi" w:hAnsiTheme="minorHAnsi" w:cstheme="minorHAnsi"/>
                <w:b/>
                <w:sz w:val="22"/>
                <w:szCs w:val="22"/>
                <w:shd w:val="clear" w:color="auto" w:fill="E5DFEC"/>
              </w:rPr>
              <w:t>Elaborate a roadmap</w:t>
            </w:r>
          </w:p>
          <w:p w14:paraId="128796E8" w14:textId="77777777" w:rsidR="00BC7508" w:rsidRDefault="00BC7508" w:rsidP="00BC7508">
            <w:pPr>
              <w:tabs>
                <w:tab w:val="center" w:pos="1260"/>
                <w:tab w:val="right" w:pos="9360"/>
              </w:tabs>
              <w:rPr>
                <w:rFonts w:asciiTheme="minorHAnsi" w:hAnsiTheme="minorHAnsi" w:cstheme="minorHAnsi"/>
                <w:b/>
                <w:sz w:val="22"/>
                <w:szCs w:val="22"/>
                <w:shd w:val="clear" w:color="auto" w:fill="E5DFEC"/>
              </w:rPr>
            </w:pPr>
          </w:p>
          <w:p w14:paraId="09BFAFC4" w14:textId="23155FBA" w:rsidR="005A3945" w:rsidRDefault="00BC7508" w:rsidP="00BC7508">
            <w:pPr>
              <w:tabs>
                <w:tab w:val="center" w:pos="1260"/>
                <w:tab w:val="right" w:pos="9360"/>
              </w:tabs>
              <w:rPr>
                <w:rFonts w:asciiTheme="minorHAnsi" w:hAnsiTheme="minorHAnsi" w:cstheme="minorHAnsi"/>
                <w:sz w:val="22"/>
                <w:szCs w:val="22"/>
              </w:rPr>
            </w:pPr>
            <w:r w:rsidRPr="00BC7508">
              <w:rPr>
                <w:rFonts w:asciiTheme="minorHAnsi" w:hAnsiTheme="minorHAnsi" w:cstheme="minorHAnsi"/>
                <w:sz w:val="22"/>
                <w:szCs w:val="22"/>
              </w:rPr>
              <w:t xml:space="preserve">To facilitate a climate technology market </w:t>
            </w:r>
            <w:r w:rsidR="005A3945">
              <w:rPr>
                <w:rFonts w:asciiTheme="minorHAnsi" w:hAnsiTheme="minorHAnsi" w:cstheme="minorHAnsi"/>
                <w:sz w:val="22"/>
                <w:szCs w:val="22"/>
              </w:rPr>
              <w:t>creation roadmap</w:t>
            </w:r>
            <w:r w:rsidRPr="00BC7508">
              <w:rPr>
                <w:rFonts w:asciiTheme="minorHAnsi" w:hAnsiTheme="minorHAnsi" w:cstheme="minorHAnsi"/>
                <w:sz w:val="22"/>
                <w:szCs w:val="22"/>
              </w:rPr>
              <w:t xml:space="preserve">, </w:t>
            </w:r>
            <w:r w:rsidR="005A3945">
              <w:rPr>
                <w:rFonts w:asciiTheme="minorHAnsi" w:hAnsiTheme="minorHAnsi" w:cstheme="minorHAnsi"/>
                <w:sz w:val="22"/>
                <w:szCs w:val="22"/>
              </w:rPr>
              <w:t xml:space="preserve">where </w:t>
            </w:r>
            <w:proofErr w:type="gramStart"/>
            <w:r w:rsidRPr="00BC7508">
              <w:rPr>
                <w:rFonts w:asciiTheme="minorHAnsi" w:hAnsiTheme="minorHAnsi" w:cstheme="minorHAnsi"/>
                <w:sz w:val="22"/>
                <w:szCs w:val="22"/>
              </w:rPr>
              <w:t>stakeholder working</w:t>
            </w:r>
            <w:proofErr w:type="gramEnd"/>
            <w:r w:rsidRPr="00BC7508">
              <w:rPr>
                <w:rFonts w:asciiTheme="minorHAnsi" w:hAnsiTheme="minorHAnsi" w:cstheme="minorHAnsi"/>
                <w:sz w:val="22"/>
                <w:szCs w:val="22"/>
              </w:rPr>
              <w:t xml:space="preserve"> groups will elaborate feasible </w:t>
            </w:r>
            <w:r w:rsidRPr="00BC7508">
              <w:rPr>
                <w:rFonts w:asciiTheme="minorHAnsi" w:hAnsiTheme="minorHAnsi" w:cstheme="minorHAnsi"/>
                <w:sz w:val="22"/>
                <w:szCs w:val="22"/>
              </w:rPr>
              <w:lastRenderedPageBreak/>
              <w:t xml:space="preserve">measures to achieve the private sector’s engagement in the </w:t>
            </w:r>
            <w:r w:rsidRPr="002F1397">
              <w:rPr>
                <w:rFonts w:asciiTheme="minorHAnsi" w:hAnsiTheme="minorHAnsi" w:cstheme="minorHAnsi"/>
                <w:sz w:val="22"/>
                <w:szCs w:val="22"/>
              </w:rPr>
              <w:t>four economic</w:t>
            </w:r>
            <w:r w:rsidRPr="00BC7508">
              <w:rPr>
                <w:rFonts w:asciiTheme="minorHAnsi" w:hAnsiTheme="minorHAnsi" w:cstheme="minorHAnsi"/>
                <w:sz w:val="22"/>
                <w:szCs w:val="22"/>
              </w:rPr>
              <w:t xml:space="preserve"> sectors targeted through the present TNA work</w:t>
            </w:r>
            <w:r w:rsidR="005A3945">
              <w:rPr>
                <w:rFonts w:asciiTheme="minorHAnsi" w:hAnsiTheme="minorHAnsi" w:cstheme="minorHAnsi"/>
                <w:sz w:val="22"/>
                <w:szCs w:val="22"/>
              </w:rPr>
              <w:t>.</w:t>
            </w:r>
          </w:p>
          <w:p w14:paraId="2DAEAA34" w14:textId="06062DCE" w:rsidR="00BC7508" w:rsidRPr="0006571C" w:rsidRDefault="00BC7508" w:rsidP="00BC7508">
            <w:pPr>
              <w:tabs>
                <w:tab w:val="center" w:pos="1260"/>
                <w:tab w:val="right" w:pos="9360"/>
              </w:tabs>
              <w:rPr>
                <w:rFonts w:asciiTheme="minorHAnsi" w:hAnsiTheme="minorHAnsi" w:cstheme="minorHAnsi"/>
                <w:b/>
                <w:sz w:val="22"/>
                <w:szCs w:val="22"/>
                <w:shd w:val="clear" w:color="auto" w:fill="E5DFEC"/>
              </w:rPr>
            </w:pPr>
          </w:p>
        </w:tc>
        <w:tc>
          <w:tcPr>
            <w:tcW w:w="2835" w:type="dxa"/>
          </w:tcPr>
          <w:p w14:paraId="20C4666F" w14:textId="2444A3B8" w:rsidR="00BC7508" w:rsidRPr="0006571C" w:rsidRDefault="00BC7508" w:rsidP="00BC7508">
            <w:pPr>
              <w:tabs>
                <w:tab w:val="center" w:pos="1260"/>
                <w:tab w:val="right" w:pos="9360"/>
              </w:tabs>
              <w:rPr>
                <w:rFonts w:asciiTheme="minorHAnsi" w:hAnsiTheme="minorHAnsi" w:cstheme="minorHAnsi"/>
                <w:sz w:val="22"/>
                <w:szCs w:val="22"/>
              </w:rPr>
            </w:pPr>
            <w:r>
              <w:rPr>
                <w:rFonts w:ascii="Calibri" w:hAnsi="Calibri" w:cs="Calibri"/>
                <w:color w:val="000000"/>
                <w:sz w:val="22"/>
                <w:szCs w:val="22"/>
              </w:rPr>
              <w:lastRenderedPageBreak/>
              <w:t xml:space="preserve">Review </w:t>
            </w:r>
            <w:r w:rsidRPr="004C4D5E">
              <w:rPr>
                <w:rFonts w:ascii="Calibri" w:hAnsi="Calibri" w:cs="Calibri"/>
                <w:color w:val="000000"/>
                <w:sz w:val="22"/>
                <w:szCs w:val="22"/>
              </w:rPr>
              <w:t xml:space="preserve">and suggest feedback </w:t>
            </w:r>
            <w:r>
              <w:rPr>
                <w:rFonts w:ascii="Calibri" w:hAnsi="Calibri" w:cs="Calibri"/>
                <w:color w:val="000000"/>
                <w:sz w:val="22"/>
                <w:szCs w:val="22"/>
              </w:rPr>
              <w:t xml:space="preserve">to the roadmap </w:t>
            </w:r>
            <w:r>
              <w:rPr>
                <w:rFonts w:asciiTheme="minorHAnsi" w:hAnsiTheme="minorHAnsi" w:cstheme="minorHAnsi"/>
                <w:sz w:val="22"/>
                <w:szCs w:val="22"/>
              </w:rPr>
              <w:t>(maximum 2 x rounds of comments)</w:t>
            </w:r>
          </w:p>
        </w:tc>
        <w:tc>
          <w:tcPr>
            <w:tcW w:w="1388" w:type="dxa"/>
          </w:tcPr>
          <w:p w14:paraId="299A6620" w14:textId="77777777" w:rsidR="00BC7508" w:rsidRPr="0006571C" w:rsidRDefault="00BC7508" w:rsidP="00BC7508">
            <w:pPr>
              <w:tabs>
                <w:tab w:val="left" w:pos="540"/>
              </w:tabs>
              <w:rPr>
                <w:rFonts w:asciiTheme="minorHAnsi" w:hAnsiTheme="minorHAnsi" w:cstheme="minorHAnsi"/>
                <w:sz w:val="22"/>
                <w:szCs w:val="22"/>
              </w:rPr>
            </w:pPr>
          </w:p>
        </w:tc>
        <w:tc>
          <w:tcPr>
            <w:tcW w:w="1800" w:type="dxa"/>
          </w:tcPr>
          <w:p w14:paraId="234C9D23" w14:textId="633390D0" w:rsidR="00BC7508" w:rsidRPr="0006571C" w:rsidRDefault="00BC7508" w:rsidP="00BC7508">
            <w:pPr>
              <w:autoSpaceDE w:val="0"/>
              <w:autoSpaceDN w:val="0"/>
              <w:adjustRightInd w:val="0"/>
              <w:rPr>
                <w:rFonts w:asciiTheme="minorHAnsi" w:hAnsiTheme="minorHAnsi" w:cstheme="minorHAnsi"/>
                <w:sz w:val="22"/>
                <w:szCs w:val="22"/>
                <w:u w:val="single"/>
              </w:rPr>
            </w:pPr>
          </w:p>
        </w:tc>
      </w:tr>
      <w:tr w:rsidR="00BC7508" w:rsidRPr="0006571C" w14:paraId="6B65243A" w14:textId="77777777" w:rsidTr="00933945">
        <w:trPr>
          <w:trHeight w:val="416"/>
        </w:trPr>
        <w:tc>
          <w:tcPr>
            <w:tcW w:w="1134" w:type="dxa"/>
          </w:tcPr>
          <w:p w14:paraId="5B4F0A66" w14:textId="3BBF20B4" w:rsidR="00BC7508" w:rsidRPr="0006571C" w:rsidRDefault="00BC7508" w:rsidP="00BC7508">
            <w:pPr>
              <w:rPr>
                <w:rFonts w:asciiTheme="minorHAnsi" w:hAnsiTheme="minorHAnsi" w:cstheme="minorHAnsi"/>
                <w:sz w:val="22"/>
                <w:szCs w:val="22"/>
              </w:rPr>
            </w:pPr>
            <w:r w:rsidRPr="0006571C">
              <w:rPr>
                <w:rFonts w:asciiTheme="minorHAnsi" w:hAnsiTheme="minorHAnsi" w:cstheme="minorHAnsi"/>
                <w:sz w:val="22"/>
                <w:szCs w:val="22"/>
              </w:rPr>
              <w:t>2.4.1</w:t>
            </w:r>
            <w:r>
              <w:rPr>
                <w:rFonts w:asciiTheme="minorHAnsi" w:hAnsiTheme="minorHAnsi" w:cstheme="minorHAnsi"/>
                <w:sz w:val="22"/>
                <w:szCs w:val="22"/>
              </w:rPr>
              <w:t>b/</w:t>
            </w:r>
            <w:r w:rsidRPr="0006571C">
              <w:rPr>
                <w:rFonts w:asciiTheme="minorHAnsi" w:hAnsiTheme="minorHAnsi" w:cstheme="minorHAnsi"/>
                <w:sz w:val="22"/>
                <w:szCs w:val="22"/>
              </w:rPr>
              <w:t>c</w:t>
            </w:r>
          </w:p>
        </w:tc>
        <w:tc>
          <w:tcPr>
            <w:tcW w:w="5983" w:type="dxa"/>
          </w:tcPr>
          <w:p w14:paraId="024EDF33" w14:textId="77777777" w:rsidR="00BC7508" w:rsidRPr="0006571C" w:rsidRDefault="00BC7508" w:rsidP="00BC7508">
            <w:pPr>
              <w:tabs>
                <w:tab w:val="center" w:pos="1260"/>
                <w:tab w:val="right" w:pos="9360"/>
              </w:tabs>
              <w:rPr>
                <w:rFonts w:asciiTheme="minorHAnsi" w:hAnsiTheme="minorHAnsi" w:cstheme="minorHAnsi"/>
                <w:b/>
                <w:sz w:val="22"/>
                <w:szCs w:val="22"/>
                <w:shd w:val="clear" w:color="auto" w:fill="E5DFEC"/>
              </w:rPr>
            </w:pPr>
            <w:r w:rsidRPr="0006571C">
              <w:rPr>
                <w:rFonts w:asciiTheme="minorHAnsi" w:hAnsiTheme="minorHAnsi" w:cstheme="minorHAnsi"/>
                <w:b/>
                <w:sz w:val="22"/>
                <w:szCs w:val="22"/>
                <w:shd w:val="clear" w:color="auto" w:fill="E5DFEC"/>
              </w:rPr>
              <w:t xml:space="preserve">Strengthen capacity of private sector stakeholder representatives </w:t>
            </w:r>
          </w:p>
          <w:p w14:paraId="26D54979" w14:textId="77777777" w:rsidR="00BC7508" w:rsidRPr="0006571C" w:rsidRDefault="00BC7508" w:rsidP="00BC7508">
            <w:pPr>
              <w:tabs>
                <w:tab w:val="center" w:pos="1260"/>
                <w:tab w:val="right" w:pos="9360"/>
              </w:tabs>
              <w:rPr>
                <w:rFonts w:asciiTheme="minorHAnsi" w:hAnsiTheme="minorHAnsi" w:cstheme="minorHAnsi"/>
                <w:b/>
                <w:sz w:val="22"/>
                <w:szCs w:val="22"/>
                <w:shd w:val="clear" w:color="auto" w:fill="E5DFEC"/>
              </w:rPr>
            </w:pPr>
          </w:p>
          <w:p w14:paraId="5F70654C" w14:textId="77777777" w:rsidR="00BC7508" w:rsidRPr="0006571C" w:rsidRDefault="00BC7508" w:rsidP="00BC7508">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Two Two-day capacity building workshops will be organized for private sector stakeholder representatives and help:</w:t>
            </w:r>
          </w:p>
          <w:p w14:paraId="75EB0A3E" w14:textId="77777777" w:rsidR="00BC7508" w:rsidRPr="0006571C" w:rsidRDefault="00BC7508" w:rsidP="00BC7508">
            <w:pPr>
              <w:tabs>
                <w:tab w:val="center" w:pos="1260"/>
                <w:tab w:val="right" w:pos="9360"/>
              </w:tabs>
              <w:rPr>
                <w:rFonts w:asciiTheme="minorHAnsi" w:hAnsiTheme="minorHAnsi" w:cstheme="minorHAnsi"/>
                <w:sz w:val="22"/>
                <w:szCs w:val="22"/>
              </w:rPr>
            </w:pPr>
          </w:p>
          <w:p w14:paraId="54F4F378" w14:textId="77777777" w:rsidR="00BC7508" w:rsidRPr="0006571C" w:rsidRDefault="00BC7508" w:rsidP="00BC7508">
            <w:pPr>
              <w:pStyle w:val="ListParagraph"/>
              <w:numPr>
                <w:ilvl w:val="0"/>
                <w:numId w:val="17"/>
              </w:num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Raise awareness on business advantages related to utilizing climate technologies versus business-as-usual technologies;</w:t>
            </w:r>
          </w:p>
          <w:p w14:paraId="542D21AD" w14:textId="77777777" w:rsidR="00BC7508" w:rsidRPr="0006571C" w:rsidRDefault="00BC7508" w:rsidP="00BC7508">
            <w:pPr>
              <w:tabs>
                <w:tab w:val="center" w:pos="1260"/>
                <w:tab w:val="right" w:pos="9360"/>
              </w:tabs>
              <w:rPr>
                <w:rFonts w:asciiTheme="minorHAnsi" w:hAnsiTheme="minorHAnsi" w:cstheme="minorHAnsi"/>
                <w:sz w:val="22"/>
                <w:szCs w:val="22"/>
              </w:rPr>
            </w:pPr>
          </w:p>
          <w:p w14:paraId="6271D6F1" w14:textId="77777777" w:rsidR="00BC7508" w:rsidRPr="0006571C" w:rsidRDefault="00BC7508" w:rsidP="00BC7508">
            <w:pPr>
              <w:pStyle w:val="ListParagraph"/>
              <w:numPr>
                <w:ilvl w:val="0"/>
                <w:numId w:val="17"/>
              </w:num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Inform of measures identified under Activity 2.4.2a likely to be adopted by the government of the Kyrgyz Republic;</w:t>
            </w:r>
          </w:p>
          <w:p w14:paraId="444FC75F" w14:textId="77777777" w:rsidR="00BC7508" w:rsidRPr="0006571C" w:rsidRDefault="00BC7508" w:rsidP="00BC7508">
            <w:pPr>
              <w:tabs>
                <w:tab w:val="center" w:pos="1260"/>
                <w:tab w:val="right" w:pos="9360"/>
              </w:tabs>
              <w:rPr>
                <w:rFonts w:asciiTheme="minorHAnsi" w:hAnsiTheme="minorHAnsi" w:cstheme="minorHAnsi"/>
                <w:sz w:val="22"/>
                <w:szCs w:val="22"/>
              </w:rPr>
            </w:pPr>
          </w:p>
          <w:p w14:paraId="43A06FF6" w14:textId="77777777" w:rsidR="00BC7508" w:rsidRPr="0006571C" w:rsidRDefault="00BC7508" w:rsidP="00BC7508">
            <w:pPr>
              <w:pStyle w:val="ListParagraph"/>
              <w:numPr>
                <w:ilvl w:val="0"/>
                <w:numId w:val="17"/>
              </w:num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Train trainers who will be in a position </w:t>
            </w:r>
            <w:proofErr w:type="gramStart"/>
            <w:r w:rsidRPr="0006571C">
              <w:rPr>
                <w:rFonts w:asciiTheme="minorHAnsi" w:hAnsiTheme="minorHAnsi" w:cstheme="minorHAnsi"/>
                <w:sz w:val="22"/>
                <w:szCs w:val="22"/>
              </w:rPr>
              <w:t>to further spread</w:t>
            </w:r>
            <w:proofErr w:type="gramEnd"/>
            <w:r w:rsidRPr="0006571C">
              <w:rPr>
                <w:rFonts w:asciiTheme="minorHAnsi" w:hAnsiTheme="minorHAnsi" w:cstheme="minorHAnsi"/>
                <w:sz w:val="22"/>
                <w:szCs w:val="22"/>
              </w:rPr>
              <w:t xml:space="preserve"> the knowledge in various localities of the Kyrgyz Republic.</w:t>
            </w:r>
          </w:p>
          <w:p w14:paraId="7CF41225" w14:textId="77777777" w:rsidR="00BC7508" w:rsidRPr="0006571C" w:rsidRDefault="00BC7508" w:rsidP="00BC7508">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 </w:t>
            </w:r>
          </w:p>
        </w:tc>
        <w:tc>
          <w:tcPr>
            <w:tcW w:w="2835" w:type="dxa"/>
          </w:tcPr>
          <w:p w14:paraId="608CD824" w14:textId="151F8555" w:rsidR="00BC7508" w:rsidRDefault="00BC7508" w:rsidP="00BC7508">
            <w:pPr>
              <w:tabs>
                <w:tab w:val="center" w:pos="1260"/>
                <w:tab w:val="right" w:pos="9360"/>
              </w:tabs>
              <w:rPr>
                <w:rFonts w:asciiTheme="minorHAnsi" w:hAnsiTheme="minorHAnsi" w:cstheme="minorHAnsi"/>
                <w:sz w:val="22"/>
                <w:szCs w:val="22"/>
              </w:rPr>
            </w:pPr>
            <w:r>
              <w:rPr>
                <w:rFonts w:asciiTheme="minorHAnsi" w:hAnsiTheme="minorHAnsi" w:cstheme="minorHAnsi"/>
                <w:sz w:val="22"/>
                <w:szCs w:val="22"/>
              </w:rPr>
              <w:t xml:space="preserve">Provide input, as well as feedback to the open access technology portal </w:t>
            </w:r>
          </w:p>
          <w:p w14:paraId="72BB5E46" w14:textId="7BDEE5F1" w:rsidR="00BC7508" w:rsidRDefault="00BC7508" w:rsidP="00BC7508">
            <w:pPr>
              <w:tabs>
                <w:tab w:val="center" w:pos="1260"/>
                <w:tab w:val="right" w:pos="9360"/>
              </w:tabs>
              <w:rPr>
                <w:rFonts w:asciiTheme="minorHAnsi" w:hAnsiTheme="minorHAnsi" w:cstheme="minorHAnsi"/>
                <w:sz w:val="22"/>
                <w:szCs w:val="22"/>
              </w:rPr>
            </w:pPr>
          </w:p>
          <w:p w14:paraId="5C69ABE5" w14:textId="18F7BA86" w:rsidR="00BC7508" w:rsidRDefault="00BC7508" w:rsidP="00BC7508">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Participate in the workshops, reflect and suggest changes if needed</w:t>
            </w:r>
          </w:p>
          <w:p w14:paraId="463CABCC" w14:textId="77777777" w:rsidR="00BC7508" w:rsidRDefault="00BC7508" w:rsidP="00BC7508">
            <w:pPr>
              <w:tabs>
                <w:tab w:val="center" w:pos="1260"/>
                <w:tab w:val="right" w:pos="9360"/>
              </w:tabs>
              <w:rPr>
                <w:rFonts w:asciiTheme="minorHAnsi" w:hAnsiTheme="minorHAnsi" w:cstheme="minorHAnsi"/>
                <w:sz w:val="22"/>
                <w:szCs w:val="22"/>
              </w:rPr>
            </w:pPr>
          </w:p>
          <w:p w14:paraId="3A691738" w14:textId="6382D850" w:rsidR="00BC7508" w:rsidRPr="0006571C" w:rsidRDefault="00BC7508" w:rsidP="00BC7508">
            <w:pPr>
              <w:tabs>
                <w:tab w:val="center" w:pos="1260"/>
                <w:tab w:val="right" w:pos="9360"/>
              </w:tabs>
              <w:rPr>
                <w:rFonts w:asciiTheme="minorHAnsi" w:hAnsiTheme="minorHAnsi" w:cstheme="minorHAnsi"/>
                <w:sz w:val="22"/>
                <w:szCs w:val="22"/>
              </w:rPr>
            </w:pPr>
          </w:p>
        </w:tc>
        <w:tc>
          <w:tcPr>
            <w:tcW w:w="1388" w:type="dxa"/>
          </w:tcPr>
          <w:p w14:paraId="6CAC89E5" w14:textId="77777777" w:rsidR="00BC7508" w:rsidRPr="0006571C" w:rsidRDefault="00BC7508" w:rsidP="00BC7508">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Pr>
          <w:p w14:paraId="32330C21" w14:textId="77777777" w:rsidR="00BC7508" w:rsidRPr="0006571C" w:rsidRDefault="00BC7508" w:rsidP="00BC7508">
            <w:pPr>
              <w:autoSpaceDE w:val="0"/>
              <w:autoSpaceDN w:val="0"/>
              <w:adjustRightInd w:val="0"/>
              <w:rPr>
                <w:rFonts w:asciiTheme="minorHAnsi" w:hAnsiTheme="minorHAnsi" w:cstheme="minorHAnsi"/>
                <w:sz w:val="22"/>
                <w:szCs w:val="22"/>
                <w:u w:val="single"/>
              </w:rPr>
            </w:pPr>
          </w:p>
        </w:tc>
      </w:tr>
      <w:tr w:rsidR="00BC7508" w:rsidRPr="0006571C" w14:paraId="7C7AD1AA" w14:textId="77777777" w:rsidTr="00BC7508">
        <w:trPr>
          <w:trHeight w:val="416"/>
        </w:trPr>
        <w:tc>
          <w:tcPr>
            <w:tcW w:w="1134" w:type="dxa"/>
            <w:tcBorders>
              <w:top w:val="single" w:sz="4" w:space="0" w:color="auto"/>
              <w:left w:val="single" w:sz="4" w:space="0" w:color="auto"/>
              <w:bottom w:val="single" w:sz="4" w:space="0" w:color="auto"/>
              <w:right w:val="single" w:sz="4" w:space="0" w:color="auto"/>
            </w:tcBorders>
          </w:tcPr>
          <w:p w14:paraId="779B0794" w14:textId="22BE03C3" w:rsidR="00BC7508" w:rsidRPr="0006571C" w:rsidRDefault="00BC7508" w:rsidP="001A77B7">
            <w:pPr>
              <w:rPr>
                <w:rFonts w:asciiTheme="minorHAnsi" w:hAnsiTheme="minorHAnsi" w:cstheme="minorHAnsi"/>
                <w:sz w:val="22"/>
                <w:szCs w:val="22"/>
              </w:rPr>
            </w:pPr>
            <w:r>
              <w:rPr>
                <w:rFonts w:asciiTheme="minorHAnsi" w:hAnsiTheme="minorHAnsi" w:cstheme="minorHAnsi"/>
                <w:sz w:val="22"/>
                <w:szCs w:val="22"/>
              </w:rPr>
              <w:t>4.3.1</w:t>
            </w:r>
          </w:p>
        </w:tc>
        <w:tc>
          <w:tcPr>
            <w:tcW w:w="5983" w:type="dxa"/>
            <w:tcBorders>
              <w:top w:val="single" w:sz="4" w:space="0" w:color="auto"/>
              <w:left w:val="single" w:sz="4" w:space="0" w:color="auto"/>
              <w:bottom w:val="single" w:sz="4" w:space="0" w:color="auto"/>
              <w:right w:val="single" w:sz="4" w:space="0" w:color="auto"/>
            </w:tcBorders>
          </w:tcPr>
          <w:p w14:paraId="6D5EBA22" w14:textId="48921118" w:rsidR="00BC7508" w:rsidRDefault="00BC7508" w:rsidP="001A77B7">
            <w:pPr>
              <w:tabs>
                <w:tab w:val="center" w:pos="1260"/>
                <w:tab w:val="right" w:pos="9360"/>
              </w:tabs>
              <w:rPr>
                <w:rFonts w:asciiTheme="minorHAnsi" w:hAnsiTheme="minorHAnsi" w:cstheme="minorHAnsi"/>
                <w:b/>
                <w:sz w:val="22"/>
                <w:szCs w:val="22"/>
                <w:shd w:val="clear" w:color="auto" w:fill="E5DFEC"/>
              </w:rPr>
            </w:pPr>
            <w:r w:rsidRPr="00BC7508">
              <w:rPr>
                <w:rFonts w:asciiTheme="minorHAnsi" w:hAnsiTheme="minorHAnsi" w:cstheme="minorHAnsi"/>
                <w:b/>
                <w:sz w:val="22"/>
                <w:szCs w:val="22"/>
                <w:shd w:val="clear" w:color="auto" w:fill="E5DFEC"/>
              </w:rPr>
              <w:t>Develop 3 project C</w:t>
            </w:r>
            <w:r w:rsidR="005A3945">
              <w:rPr>
                <w:rFonts w:asciiTheme="minorHAnsi" w:hAnsiTheme="minorHAnsi" w:cstheme="minorHAnsi"/>
                <w:b/>
                <w:sz w:val="22"/>
                <w:szCs w:val="22"/>
                <w:shd w:val="clear" w:color="auto" w:fill="E5DFEC"/>
              </w:rPr>
              <w:t xml:space="preserve">oncept </w:t>
            </w:r>
            <w:r w:rsidRPr="00BC7508">
              <w:rPr>
                <w:rFonts w:asciiTheme="minorHAnsi" w:hAnsiTheme="minorHAnsi" w:cstheme="minorHAnsi"/>
                <w:b/>
                <w:sz w:val="22"/>
                <w:szCs w:val="22"/>
                <w:shd w:val="clear" w:color="auto" w:fill="E5DFEC"/>
              </w:rPr>
              <w:t>N</w:t>
            </w:r>
            <w:r w:rsidR="005A3945">
              <w:rPr>
                <w:rFonts w:asciiTheme="minorHAnsi" w:hAnsiTheme="minorHAnsi" w:cstheme="minorHAnsi"/>
                <w:b/>
                <w:sz w:val="22"/>
                <w:szCs w:val="22"/>
                <w:shd w:val="clear" w:color="auto" w:fill="E5DFEC"/>
              </w:rPr>
              <w:t>otes</w:t>
            </w:r>
          </w:p>
          <w:p w14:paraId="0E237445" w14:textId="77777777" w:rsidR="00BC7508" w:rsidRDefault="00BC7508" w:rsidP="001A77B7">
            <w:pPr>
              <w:tabs>
                <w:tab w:val="center" w:pos="1260"/>
                <w:tab w:val="right" w:pos="9360"/>
              </w:tabs>
              <w:rPr>
                <w:rFonts w:asciiTheme="minorHAnsi" w:hAnsiTheme="minorHAnsi" w:cstheme="minorHAnsi"/>
                <w:b/>
                <w:sz w:val="22"/>
                <w:szCs w:val="22"/>
                <w:shd w:val="clear" w:color="auto" w:fill="E5DFEC"/>
              </w:rPr>
            </w:pPr>
          </w:p>
          <w:p w14:paraId="5963034E" w14:textId="3617DE8A" w:rsidR="00BC7508" w:rsidRPr="0006571C" w:rsidRDefault="00BC7508" w:rsidP="00BC7508">
            <w:pPr>
              <w:tabs>
                <w:tab w:val="center" w:pos="1260"/>
                <w:tab w:val="right" w:pos="9360"/>
              </w:tabs>
              <w:rPr>
                <w:rFonts w:asciiTheme="minorHAnsi" w:hAnsiTheme="minorHAnsi" w:cstheme="minorHAnsi"/>
                <w:sz w:val="22"/>
                <w:szCs w:val="22"/>
              </w:rPr>
            </w:pPr>
            <w:r>
              <w:rPr>
                <w:rFonts w:asciiTheme="minorHAnsi" w:hAnsiTheme="minorHAnsi" w:cstheme="minorHAnsi"/>
                <w:sz w:val="22"/>
                <w:szCs w:val="22"/>
              </w:rPr>
              <w:t xml:space="preserve">Development of 3 CNs, that will </w:t>
            </w:r>
            <w:r w:rsidRPr="00BC7508">
              <w:rPr>
                <w:rFonts w:asciiTheme="minorHAnsi" w:hAnsiTheme="minorHAnsi" w:cstheme="minorHAnsi"/>
                <w:sz w:val="22"/>
                <w:szCs w:val="22"/>
              </w:rPr>
              <w:t xml:space="preserve">enable the NDA </w:t>
            </w:r>
            <w:r w:rsidR="005A3945">
              <w:rPr>
                <w:rFonts w:asciiTheme="minorHAnsi" w:hAnsiTheme="minorHAnsi" w:cstheme="minorHAnsi"/>
                <w:sz w:val="22"/>
                <w:szCs w:val="22"/>
              </w:rPr>
              <w:t xml:space="preserve">to </w:t>
            </w:r>
            <w:proofErr w:type="gramStart"/>
            <w:r w:rsidRPr="00BC7508">
              <w:rPr>
                <w:rFonts w:asciiTheme="minorHAnsi" w:hAnsiTheme="minorHAnsi" w:cstheme="minorHAnsi"/>
                <w:sz w:val="22"/>
                <w:szCs w:val="22"/>
              </w:rPr>
              <w:t>request</w:t>
            </w:r>
            <w:r w:rsidR="005A3945">
              <w:rPr>
                <w:rFonts w:asciiTheme="minorHAnsi" w:hAnsiTheme="minorHAnsi" w:cstheme="minorHAnsi"/>
                <w:sz w:val="22"/>
                <w:szCs w:val="22"/>
              </w:rPr>
              <w:t xml:space="preserve"> </w:t>
            </w:r>
            <w:r w:rsidRPr="00BC7508">
              <w:rPr>
                <w:rFonts w:asciiTheme="minorHAnsi" w:hAnsiTheme="minorHAnsi" w:cstheme="minorHAnsi"/>
                <w:sz w:val="22"/>
                <w:szCs w:val="22"/>
              </w:rPr>
              <w:t xml:space="preserve"> further</w:t>
            </w:r>
            <w:proofErr w:type="gramEnd"/>
            <w:r w:rsidRPr="00BC7508">
              <w:rPr>
                <w:rFonts w:asciiTheme="minorHAnsi" w:hAnsiTheme="minorHAnsi" w:cstheme="minorHAnsi"/>
                <w:sz w:val="22"/>
                <w:szCs w:val="22"/>
              </w:rPr>
              <w:t xml:space="preserve"> support</w:t>
            </w:r>
            <w:r w:rsidR="005A3945">
              <w:rPr>
                <w:rFonts w:asciiTheme="minorHAnsi" w:hAnsiTheme="minorHAnsi" w:cstheme="minorHAnsi"/>
                <w:sz w:val="22"/>
                <w:szCs w:val="22"/>
              </w:rPr>
              <w:t xml:space="preserve"> from the GCF</w:t>
            </w:r>
            <w:r w:rsidRPr="00BC7508">
              <w:rPr>
                <w:rFonts w:asciiTheme="minorHAnsi" w:hAnsiTheme="minorHAnsi" w:cstheme="minorHAnsi"/>
                <w:sz w:val="22"/>
                <w:szCs w:val="22"/>
              </w:rPr>
              <w:t>.</w:t>
            </w:r>
          </w:p>
          <w:p w14:paraId="117EBA5B" w14:textId="7B540513" w:rsidR="00BC7508" w:rsidRPr="0006571C" w:rsidRDefault="00BC7508" w:rsidP="001A77B7">
            <w:pPr>
              <w:tabs>
                <w:tab w:val="center" w:pos="1260"/>
                <w:tab w:val="right" w:pos="9360"/>
              </w:tabs>
              <w:rPr>
                <w:rFonts w:asciiTheme="minorHAnsi" w:hAnsiTheme="minorHAnsi" w:cstheme="minorHAnsi"/>
                <w:b/>
                <w:sz w:val="22"/>
                <w:szCs w:val="22"/>
                <w:shd w:val="clear" w:color="auto" w:fill="E5DFEC"/>
              </w:rPr>
            </w:pPr>
          </w:p>
        </w:tc>
        <w:tc>
          <w:tcPr>
            <w:tcW w:w="2835" w:type="dxa"/>
            <w:tcBorders>
              <w:top w:val="single" w:sz="4" w:space="0" w:color="auto"/>
              <w:left w:val="single" w:sz="4" w:space="0" w:color="auto"/>
              <w:bottom w:val="single" w:sz="4" w:space="0" w:color="auto"/>
              <w:right w:val="single" w:sz="4" w:space="0" w:color="auto"/>
            </w:tcBorders>
          </w:tcPr>
          <w:p w14:paraId="45C00169" w14:textId="04D6CC18" w:rsidR="00BC7508" w:rsidRPr="0006571C" w:rsidRDefault="00BC7508" w:rsidP="00BC7508">
            <w:pPr>
              <w:tabs>
                <w:tab w:val="center" w:pos="1260"/>
                <w:tab w:val="right" w:pos="9360"/>
              </w:tabs>
              <w:rPr>
                <w:rFonts w:asciiTheme="minorHAnsi" w:hAnsiTheme="minorHAnsi" w:cstheme="minorHAnsi"/>
                <w:sz w:val="22"/>
                <w:szCs w:val="22"/>
              </w:rPr>
            </w:pPr>
            <w:r w:rsidRPr="0006571C">
              <w:rPr>
                <w:rFonts w:asciiTheme="minorHAnsi" w:hAnsiTheme="minorHAnsi" w:cstheme="minorHAnsi"/>
                <w:sz w:val="22"/>
                <w:szCs w:val="22"/>
              </w:rPr>
              <w:t xml:space="preserve">Review and provide feedback on the </w:t>
            </w:r>
            <w:r>
              <w:rPr>
                <w:rFonts w:asciiTheme="minorHAnsi" w:hAnsiTheme="minorHAnsi" w:cstheme="minorHAnsi"/>
                <w:sz w:val="22"/>
                <w:szCs w:val="22"/>
              </w:rPr>
              <w:t>CNs (maximum 2 x rounds of comments)</w:t>
            </w:r>
          </w:p>
        </w:tc>
        <w:tc>
          <w:tcPr>
            <w:tcW w:w="1388" w:type="dxa"/>
            <w:tcBorders>
              <w:top w:val="single" w:sz="4" w:space="0" w:color="auto"/>
              <w:left w:val="single" w:sz="4" w:space="0" w:color="auto"/>
              <w:bottom w:val="single" w:sz="4" w:space="0" w:color="auto"/>
              <w:right w:val="single" w:sz="4" w:space="0" w:color="auto"/>
            </w:tcBorders>
          </w:tcPr>
          <w:p w14:paraId="7202F681" w14:textId="495411C0" w:rsidR="00BC7508" w:rsidRPr="0006571C" w:rsidRDefault="00BC7508" w:rsidP="001A77B7">
            <w:pPr>
              <w:tabs>
                <w:tab w:val="left" w:pos="540"/>
              </w:tabs>
              <w:rPr>
                <w:rFonts w:asciiTheme="minorHAnsi" w:hAnsiTheme="minorHAnsi" w:cstheme="minorHAnsi"/>
                <w:sz w:val="22"/>
                <w:szCs w:val="22"/>
              </w:rPr>
            </w:pPr>
            <w:r w:rsidRPr="0006571C">
              <w:rPr>
                <w:rFonts w:asciiTheme="minorHAnsi" w:hAnsiTheme="minorHAnsi" w:cstheme="minorHAnsi"/>
                <w:sz w:val="22"/>
                <w:szCs w:val="22"/>
              </w:rPr>
              <w:t>As per work plan</w:t>
            </w:r>
          </w:p>
        </w:tc>
        <w:tc>
          <w:tcPr>
            <w:tcW w:w="1800" w:type="dxa"/>
            <w:tcBorders>
              <w:top w:val="single" w:sz="4" w:space="0" w:color="auto"/>
              <w:left w:val="single" w:sz="4" w:space="0" w:color="auto"/>
              <w:bottom w:val="single" w:sz="4" w:space="0" w:color="auto"/>
              <w:right w:val="single" w:sz="4" w:space="0" w:color="auto"/>
            </w:tcBorders>
          </w:tcPr>
          <w:p w14:paraId="76B79923" w14:textId="77777777" w:rsidR="00BC7508" w:rsidRPr="0006571C" w:rsidRDefault="00BC7508" w:rsidP="001A77B7">
            <w:pPr>
              <w:autoSpaceDE w:val="0"/>
              <w:autoSpaceDN w:val="0"/>
              <w:adjustRightInd w:val="0"/>
              <w:rPr>
                <w:rFonts w:asciiTheme="minorHAnsi" w:hAnsiTheme="minorHAnsi" w:cstheme="minorHAnsi"/>
                <w:sz w:val="22"/>
                <w:szCs w:val="22"/>
                <w:u w:val="single"/>
              </w:rPr>
            </w:pPr>
          </w:p>
        </w:tc>
      </w:tr>
    </w:tbl>
    <w:p w14:paraId="222BC7E6" w14:textId="77777777" w:rsidR="00420FAB" w:rsidRPr="0006571C" w:rsidRDefault="00420FAB" w:rsidP="00420FAB">
      <w:pPr>
        <w:widowControl w:val="0"/>
        <w:tabs>
          <w:tab w:val="left" w:pos="1788"/>
        </w:tabs>
        <w:spacing w:before="144" w:line="276" w:lineRule="auto"/>
        <w:ind w:right="130"/>
        <w:jc w:val="both"/>
        <w:rPr>
          <w:rFonts w:asciiTheme="minorHAnsi" w:eastAsia="Arial" w:hAnsiTheme="minorHAnsi" w:cstheme="minorHAnsi"/>
          <w:sz w:val="22"/>
          <w:szCs w:val="22"/>
        </w:rPr>
        <w:sectPr w:rsidR="00420FAB" w:rsidRPr="0006571C" w:rsidSect="00420FAB">
          <w:pgSz w:w="16838" w:h="11906" w:orient="landscape"/>
          <w:pgMar w:top="1134" w:right="1134" w:bottom="1134" w:left="1134" w:header="567" w:footer="408" w:gutter="0"/>
          <w:cols w:space="720"/>
          <w:titlePg/>
          <w:docGrid w:linePitch="360"/>
        </w:sectPr>
      </w:pPr>
    </w:p>
    <w:p w14:paraId="04A07BBB" w14:textId="77777777" w:rsidR="000540F5" w:rsidRPr="0006571C" w:rsidRDefault="000540F5" w:rsidP="00560AC7">
      <w:pPr>
        <w:pStyle w:val="ListParagraph"/>
        <w:spacing w:line="276" w:lineRule="auto"/>
        <w:ind w:left="0"/>
        <w:jc w:val="both"/>
        <w:rPr>
          <w:rFonts w:asciiTheme="minorHAnsi" w:eastAsia="Arial" w:hAnsiTheme="minorHAnsi" w:cstheme="minorHAnsi"/>
          <w:sz w:val="22"/>
          <w:szCs w:val="22"/>
        </w:rPr>
      </w:pPr>
    </w:p>
    <w:p w14:paraId="1BB758C0" w14:textId="77777777" w:rsidR="00560AC7" w:rsidRPr="0006571C" w:rsidRDefault="00560AC7" w:rsidP="00560AC7">
      <w:pPr>
        <w:pStyle w:val="ListParagraph"/>
        <w:spacing w:line="276" w:lineRule="auto"/>
        <w:ind w:left="0"/>
        <w:jc w:val="both"/>
        <w:rPr>
          <w:rFonts w:asciiTheme="minorHAnsi" w:eastAsia="Arial" w:hAnsiTheme="minorHAnsi" w:cstheme="minorHAnsi"/>
          <w:b/>
          <w:sz w:val="22"/>
          <w:szCs w:val="22"/>
        </w:rPr>
      </w:pPr>
      <w:r w:rsidRPr="0006571C">
        <w:rPr>
          <w:rFonts w:asciiTheme="minorHAnsi" w:eastAsia="Arial" w:hAnsiTheme="minorHAnsi" w:cstheme="minorHAnsi"/>
          <w:b/>
          <w:sz w:val="22"/>
          <w:szCs w:val="22"/>
        </w:rPr>
        <w:t>Budget and Payments</w:t>
      </w:r>
    </w:p>
    <w:p w14:paraId="63D490D8" w14:textId="77777777" w:rsidR="006364AA" w:rsidRPr="0006571C" w:rsidRDefault="006364AA" w:rsidP="00560AC7">
      <w:pPr>
        <w:pStyle w:val="ListParagraph"/>
        <w:spacing w:line="276" w:lineRule="auto"/>
        <w:ind w:left="0"/>
        <w:jc w:val="both"/>
        <w:rPr>
          <w:rFonts w:asciiTheme="minorHAnsi" w:eastAsia="Arial" w:hAnsiTheme="minorHAnsi" w:cstheme="minorHAnsi"/>
          <w:b/>
          <w:i/>
          <w:sz w:val="22"/>
          <w:szCs w:val="22"/>
        </w:rPr>
      </w:pPr>
      <w:r w:rsidRPr="0006571C">
        <w:rPr>
          <w:rFonts w:asciiTheme="minorHAnsi" w:eastAsia="Arial" w:hAnsiTheme="minorHAnsi" w:cstheme="minorHAnsi"/>
          <w:b/>
          <w:i/>
          <w:sz w:val="22"/>
          <w:szCs w:val="22"/>
        </w:rPr>
        <w:t>Staff time</w:t>
      </w:r>
    </w:p>
    <w:p w14:paraId="6CC5992A" w14:textId="30C828E4" w:rsidR="00560AC7" w:rsidRPr="0006571C" w:rsidRDefault="000540F5" w:rsidP="00560AC7">
      <w:pPr>
        <w:widowControl w:val="0"/>
        <w:tabs>
          <w:tab w:val="left" w:pos="1769"/>
        </w:tabs>
        <w:spacing w:before="148" w:line="251" w:lineRule="auto"/>
        <w:ind w:right="289"/>
        <w:rPr>
          <w:rFonts w:asciiTheme="minorHAnsi" w:eastAsia="Arial" w:hAnsiTheme="minorHAnsi" w:cstheme="minorHAnsi"/>
          <w:sz w:val="22"/>
          <w:szCs w:val="22"/>
        </w:rPr>
      </w:pPr>
      <w:r w:rsidRPr="0006571C">
        <w:rPr>
          <w:rFonts w:asciiTheme="minorHAnsi" w:eastAsia="Arial" w:hAnsiTheme="minorHAnsi" w:cstheme="minorHAnsi"/>
          <w:sz w:val="22"/>
          <w:szCs w:val="22"/>
        </w:rPr>
        <w:t>For the services listed above, the</w:t>
      </w:r>
      <w:r w:rsidR="005623B8" w:rsidRPr="0006571C">
        <w:rPr>
          <w:rFonts w:asciiTheme="minorHAnsi" w:eastAsia="Arial" w:hAnsiTheme="minorHAnsi" w:cstheme="minorHAnsi"/>
          <w:sz w:val="22"/>
          <w:szCs w:val="22"/>
        </w:rPr>
        <w:t xml:space="preserve"> </w:t>
      </w:r>
      <w:r w:rsidR="002B63B5">
        <w:rPr>
          <w:rFonts w:asciiTheme="minorHAnsi" w:eastAsia="Arial" w:hAnsiTheme="minorHAnsi" w:cstheme="minorHAnsi"/>
          <w:sz w:val="22"/>
          <w:szCs w:val="22"/>
        </w:rPr>
        <w:t>International Expert Consultant</w:t>
      </w:r>
      <w:r w:rsidRPr="0006571C">
        <w:rPr>
          <w:rFonts w:asciiTheme="minorHAnsi" w:eastAsia="Arial" w:hAnsiTheme="minorHAnsi" w:cstheme="minorHAnsi"/>
          <w:sz w:val="22"/>
          <w:szCs w:val="22"/>
        </w:rPr>
        <w:t xml:space="preserve"> will receive a total fee of</w:t>
      </w:r>
      <w:r w:rsidR="008D0B34" w:rsidRPr="0006571C">
        <w:rPr>
          <w:rFonts w:asciiTheme="minorHAnsi" w:eastAsia="Arial" w:hAnsiTheme="minorHAnsi" w:cstheme="minorHAnsi"/>
          <w:sz w:val="22"/>
          <w:szCs w:val="22"/>
        </w:rPr>
        <w:t xml:space="preserve"> </w:t>
      </w:r>
      <w:r w:rsidR="002B63B5">
        <w:rPr>
          <w:rFonts w:asciiTheme="minorHAnsi" w:eastAsia="Arial" w:hAnsiTheme="minorHAnsi" w:cstheme="minorHAnsi"/>
          <w:sz w:val="22"/>
          <w:szCs w:val="22"/>
        </w:rPr>
        <w:t>18</w:t>
      </w:r>
      <w:r w:rsidR="0067592F" w:rsidRPr="0006571C">
        <w:rPr>
          <w:rFonts w:asciiTheme="minorHAnsi" w:eastAsia="Arial" w:hAnsiTheme="minorHAnsi" w:cstheme="minorHAnsi"/>
          <w:sz w:val="22"/>
          <w:szCs w:val="22"/>
        </w:rPr>
        <w:t>,</w:t>
      </w:r>
      <w:r w:rsidR="002B63B5">
        <w:rPr>
          <w:rFonts w:asciiTheme="minorHAnsi" w:eastAsia="Arial" w:hAnsiTheme="minorHAnsi" w:cstheme="minorHAnsi"/>
          <w:sz w:val="22"/>
          <w:szCs w:val="22"/>
        </w:rPr>
        <w:t>5</w:t>
      </w:r>
      <w:r w:rsidR="00E6054B" w:rsidRPr="0006571C">
        <w:rPr>
          <w:rFonts w:asciiTheme="minorHAnsi" w:eastAsia="Arial" w:hAnsiTheme="minorHAnsi" w:cstheme="minorHAnsi"/>
          <w:sz w:val="22"/>
          <w:szCs w:val="22"/>
        </w:rPr>
        <w:t>00</w:t>
      </w:r>
      <w:r w:rsidR="00C560C5" w:rsidRPr="0006571C">
        <w:rPr>
          <w:rFonts w:asciiTheme="minorHAnsi" w:eastAsia="Arial" w:hAnsiTheme="minorHAnsi" w:cstheme="minorHAnsi"/>
          <w:sz w:val="22"/>
          <w:szCs w:val="22"/>
        </w:rPr>
        <w:t xml:space="preserve"> </w:t>
      </w:r>
      <w:r w:rsidRPr="0006571C">
        <w:rPr>
          <w:rFonts w:asciiTheme="minorHAnsi" w:eastAsia="Arial" w:hAnsiTheme="minorHAnsi" w:cstheme="minorHAnsi"/>
          <w:sz w:val="22"/>
          <w:szCs w:val="22"/>
        </w:rPr>
        <w:t>USD</w:t>
      </w:r>
      <w:r w:rsidR="00554EF3" w:rsidRPr="0006571C">
        <w:rPr>
          <w:rFonts w:asciiTheme="minorHAnsi" w:eastAsia="Arial" w:hAnsiTheme="minorHAnsi" w:cstheme="minorHAnsi"/>
          <w:sz w:val="22"/>
          <w:szCs w:val="22"/>
        </w:rPr>
        <w:t xml:space="preserve"> for staff time</w:t>
      </w:r>
      <w:r w:rsidR="00560AC7" w:rsidRPr="0006571C">
        <w:rPr>
          <w:rFonts w:asciiTheme="minorHAnsi" w:eastAsia="Arial" w:hAnsiTheme="minorHAnsi" w:cstheme="minorHAnsi"/>
          <w:sz w:val="22"/>
          <w:szCs w:val="22"/>
        </w:rPr>
        <w:t xml:space="preserve"> against </w:t>
      </w:r>
      <w:r w:rsidR="0067592F" w:rsidRPr="0006571C">
        <w:rPr>
          <w:rStyle w:val="CommentReference"/>
          <w:rFonts w:asciiTheme="minorHAnsi" w:hAnsiTheme="minorHAnsi" w:cstheme="minorHAnsi"/>
          <w:sz w:val="22"/>
          <w:szCs w:val="22"/>
        </w:rPr>
        <w:t>the deliverables,</w:t>
      </w:r>
      <w:r w:rsidR="00560AC7" w:rsidRPr="0006571C">
        <w:rPr>
          <w:rFonts w:asciiTheme="minorHAnsi" w:eastAsia="Arial" w:hAnsiTheme="minorHAnsi" w:cstheme="minorHAnsi"/>
          <w:sz w:val="22"/>
          <w:szCs w:val="22"/>
        </w:rPr>
        <w:t xml:space="preserve"> as specified in the contract</w:t>
      </w:r>
      <w:r w:rsidR="002B63B5">
        <w:rPr>
          <w:rFonts w:asciiTheme="minorHAnsi" w:eastAsia="Arial" w:hAnsiTheme="minorHAnsi" w:cstheme="minorHAnsi"/>
          <w:sz w:val="22"/>
          <w:szCs w:val="22"/>
        </w:rPr>
        <w:t>.</w:t>
      </w:r>
    </w:p>
    <w:p w14:paraId="7391D345" w14:textId="77777777" w:rsidR="00560AC7" w:rsidRPr="0006571C" w:rsidRDefault="00560AC7" w:rsidP="00560AC7">
      <w:pPr>
        <w:widowControl w:val="0"/>
        <w:tabs>
          <w:tab w:val="left" w:pos="1769"/>
        </w:tabs>
        <w:spacing w:before="148" w:line="251" w:lineRule="auto"/>
        <w:ind w:right="289"/>
        <w:rPr>
          <w:rFonts w:asciiTheme="minorHAnsi" w:eastAsia="Arial" w:hAnsiTheme="minorHAnsi" w:cstheme="minorHAnsi"/>
          <w:b/>
          <w:i/>
          <w:sz w:val="22"/>
          <w:szCs w:val="22"/>
        </w:rPr>
      </w:pPr>
      <w:proofErr w:type="spellStart"/>
      <w:r w:rsidRPr="0006571C">
        <w:rPr>
          <w:rFonts w:asciiTheme="minorHAnsi" w:eastAsia="Arial" w:hAnsiTheme="minorHAnsi" w:cstheme="minorHAnsi"/>
          <w:b/>
          <w:i/>
          <w:sz w:val="22"/>
          <w:szCs w:val="22"/>
        </w:rPr>
        <w:t>Reimbursables</w:t>
      </w:r>
      <w:proofErr w:type="spellEnd"/>
    </w:p>
    <w:p w14:paraId="3C62F760" w14:textId="77777777" w:rsidR="0006571C" w:rsidRDefault="0067592F" w:rsidP="0006571C">
      <w:pPr>
        <w:widowControl w:val="0"/>
        <w:tabs>
          <w:tab w:val="left" w:pos="1769"/>
        </w:tabs>
        <w:spacing w:before="148" w:line="276" w:lineRule="auto"/>
        <w:ind w:right="289"/>
        <w:jc w:val="both"/>
        <w:rPr>
          <w:rFonts w:asciiTheme="minorHAnsi" w:eastAsia="Arial" w:hAnsiTheme="minorHAnsi" w:cstheme="minorHAnsi"/>
          <w:sz w:val="22"/>
          <w:szCs w:val="22"/>
        </w:rPr>
      </w:pPr>
      <w:r w:rsidRPr="0006571C">
        <w:rPr>
          <w:rFonts w:asciiTheme="minorHAnsi" w:eastAsia="Arial" w:hAnsiTheme="minorHAnsi" w:cstheme="minorHAnsi"/>
          <w:sz w:val="22"/>
          <w:szCs w:val="22"/>
        </w:rPr>
        <w:t>Costs associated with</w:t>
      </w:r>
      <w:r w:rsidR="00560AC7" w:rsidRPr="0006571C">
        <w:rPr>
          <w:rFonts w:asciiTheme="minorHAnsi" w:eastAsia="Arial" w:hAnsiTheme="minorHAnsi" w:cstheme="minorHAnsi"/>
          <w:sz w:val="22"/>
          <w:szCs w:val="22"/>
        </w:rPr>
        <w:t xml:space="preserve"> travel over the course of the project for participation in meetings, workshops and missions, </w:t>
      </w:r>
      <w:proofErr w:type="gramStart"/>
      <w:r w:rsidR="00560AC7" w:rsidRPr="0006571C">
        <w:rPr>
          <w:rFonts w:asciiTheme="minorHAnsi" w:eastAsia="Arial" w:hAnsiTheme="minorHAnsi" w:cstheme="minorHAnsi"/>
          <w:sz w:val="22"/>
          <w:szCs w:val="22"/>
        </w:rPr>
        <w:t>will be covered</w:t>
      </w:r>
      <w:proofErr w:type="gramEnd"/>
      <w:r w:rsidR="00560AC7" w:rsidRPr="0006571C">
        <w:rPr>
          <w:rFonts w:asciiTheme="minorHAnsi" w:eastAsia="Arial" w:hAnsiTheme="minorHAnsi" w:cstheme="minorHAnsi"/>
          <w:sz w:val="22"/>
          <w:szCs w:val="22"/>
        </w:rPr>
        <w:t xml:space="preserve"> separately through a budget managed by UDP. Costs </w:t>
      </w:r>
      <w:proofErr w:type="gramStart"/>
      <w:r w:rsidR="00560AC7" w:rsidRPr="0006571C">
        <w:rPr>
          <w:rFonts w:asciiTheme="minorHAnsi" w:eastAsia="Arial" w:hAnsiTheme="minorHAnsi" w:cstheme="minorHAnsi"/>
          <w:sz w:val="22"/>
          <w:szCs w:val="22"/>
        </w:rPr>
        <w:t>are reimbursed</w:t>
      </w:r>
      <w:proofErr w:type="gramEnd"/>
      <w:r w:rsidR="00560AC7" w:rsidRPr="0006571C">
        <w:rPr>
          <w:rFonts w:asciiTheme="minorHAnsi" w:eastAsia="Arial" w:hAnsiTheme="minorHAnsi" w:cstheme="minorHAnsi"/>
          <w:sz w:val="22"/>
          <w:szCs w:val="22"/>
        </w:rPr>
        <w:t xml:space="preserve"> upon financial statements including receipts delivered to UDP. </w:t>
      </w:r>
    </w:p>
    <w:p w14:paraId="5C544C7A" w14:textId="77777777" w:rsidR="002B63B5" w:rsidRDefault="002B63B5" w:rsidP="002C7B5C">
      <w:pPr>
        <w:pStyle w:val="ListBullet"/>
        <w:numPr>
          <w:ilvl w:val="0"/>
          <w:numId w:val="0"/>
        </w:numPr>
        <w:spacing w:line="276" w:lineRule="auto"/>
        <w:jc w:val="both"/>
        <w:rPr>
          <w:rFonts w:asciiTheme="minorHAnsi" w:hAnsiTheme="minorHAnsi" w:cstheme="minorHAnsi"/>
          <w:b/>
          <w:sz w:val="22"/>
          <w:szCs w:val="22"/>
        </w:rPr>
      </w:pPr>
      <w:bookmarkStart w:id="0" w:name="_GoBack"/>
      <w:bookmarkEnd w:id="0"/>
    </w:p>
    <w:p w14:paraId="1BFAC430" w14:textId="1B2E5A8B" w:rsidR="001152EF" w:rsidRPr="0006571C" w:rsidRDefault="00DD194C" w:rsidP="002C7B5C">
      <w:pPr>
        <w:pStyle w:val="ListBullet"/>
        <w:numPr>
          <w:ilvl w:val="0"/>
          <w:numId w:val="0"/>
        </w:numPr>
        <w:spacing w:line="276" w:lineRule="auto"/>
        <w:jc w:val="both"/>
        <w:rPr>
          <w:rFonts w:asciiTheme="minorHAnsi" w:hAnsiTheme="minorHAnsi" w:cstheme="minorHAnsi"/>
          <w:b/>
          <w:sz w:val="22"/>
          <w:szCs w:val="22"/>
        </w:rPr>
      </w:pPr>
      <w:r w:rsidRPr="0006571C">
        <w:rPr>
          <w:rFonts w:asciiTheme="minorHAnsi" w:hAnsiTheme="minorHAnsi" w:cstheme="minorHAnsi"/>
          <w:b/>
          <w:sz w:val="22"/>
          <w:szCs w:val="22"/>
        </w:rPr>
        <w:t>Contract duration</w:t>
      </w:r>
    </w:p>
    <w:p w14:paraId="7E452D11" w14:textId="23E3EDCB" w:rsidR="00156286" w:rsidRPr="0006571C" w:rsidRDefault="00DD194C" w:rsidP="0077110C">
      <w:pPr>
        <w:pStyle w:val="ListBullet"/>
        <w:numPr>
          <w:ilvl w:val="0"/>
          <w:numId w:val="0"/>
        </w:numPr>
        <w:spacing w:line="276" w:lineRule="auto"/>
        <w:jc w:val="both"/>
        <w:rPr>
          <w:rFonts w:asciiTheme="minorHAnsi" w:hAnsiTheme="minorHAnsi" w:cstheme="minorHAnsi"/>
          <w:sz w:val="22"/>
          <w:szCs w:val="22"/>
        </w:rPr>
      </w:pPr>
      <w:r w:rsidRPr="0006571C">
        <w:rPr>
          <w:rFonts w:asciiTheme="minorHAnsi" w:hAnsiTheme="minorHAnsi" w:cstheme="minorHAnsi"/>
          <w:sz w:val="22"/>
          <w:szCs w:val="22"/>
        </w:rPr>
        <w:t xml:space="preserve">The contract duration is expected to </w:t>
      </w:r>
      <w:r w:rsidRPr="00A3191D">
        <w:rPr>
          <w:rFonts w:asciiTheme="minorHAnsi" w:hAnsiTheme="minorHAnsi" w:cstheme="minorHAnsi"/>
          <w:sz w:val="22"/>
          <w:szCs w:val="22"/>
        </w:rPr>
        <w:t xml:space="preserve">be </w:t>
      </w:r>
      <w:r w:rsidR="006C018E" w:rsidRPr="006C018E">
        <w:rPr>
          <w:rFonts w:asciiTheme="minorHAnsi" w:hAnsiTheme="minorHAnsi" w:cstheme="minorHAnsi"/>
          <w:sz w:val="22"/>
          <w:szCs w:val="22"/>
        </w:rPr>
        <w:t>Sept.</w:t>
      </w:r>
      <w:r w:rsidR="007F0E96" w:rsidRPr="006C018E">
        <w:rPr>
          <w:rFonts w:asciiTheme="minorHAnsi" w:hAnsiTheme="minorHAnsi" w:cstheme="minorHAnsi"/>
          <w:sz w:val="22"/>
          <w:szCs w:val="22"/>
        </w:rPr>
        <w:t xml:space="preserve"> </w:t>
      </w:r>
      <w:r w:rsidR="007F0E96" w:rsidRPr="0006571C">
        <w:rPr>
          <w:rFonts w:asciiTheme="minorHAnsi" w:hAnsiTheme="minorHAnsi" w:cstheme="minorHAnsi"/>
          <w:sz w:val="22"/>
          <w:szCs w:val="22"/>
        </w:rPr>
        <w:t>2021</w:t>
      </w:r>
      <w:r w:rsidRPr="0006571C">
        <w:rPr>
          <w:rFonts w:asciiTheme="minorHAnsi" w:hAnsiTheme="minorHAnsi" w:cstheme="minorHAnsi"/>
          <w:sz w:val="22"/>
          <w:szCs w:val="22"/>
        </w:rPr>
        <w:t xml:space="preserve"> - </w:t>
      </w:r>
      <w:r w:rsidR="007F0E96" w:rsidRPr="0006571C">
        <w:rPr>
          <w:rFonts w:asciiTheme="minorHAnsi" w:hAnsiTheme="minorHAnsi" w:cstheme="minorHAnsi"/>
          <w:sz w:val="22"/>
          <w:szCs w:val="22"/>
        </w:rPr>
        <w:t>December 2022</w:t>
      </w:r>
    </w:p>
    <w:sectPr w:rsidR="00156286" w:rsidRPr="0006571C" w:rsidSect="00574443">
      <w:pgSz w:w="11906" w:h="16838"/>
      <w:pgMar w:top="1134" w:right="1134" w:bottom="1134" w:left="1134" w:header="567" w:footer="4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B9F8" w16cex:dateUtc="2021-09-07T07:14:00Z"/>
  <w16cex:commentExtensible w16cex:durableId="24E1C927" w16cex:dateUtc="2021-09-07T08:19:00Z"/>
  <w16cex:commentExtensible w16cex:durableId="24E1C9DD" w16cex:dateUtc="2021-09-07T08:22:00Z"/>
  <w16cex:commentExtensible w16cex:durableId="24E1BAD4" w16cex:dateUtc="2021-09-07T07:17:00Z"/>
  <w16cex:commentExtensible w16cex:durableId="24E1BB5E" w16cex:dateUtc="2021-09-07T07:20:00Z"/>
  <w16cex:commentExtensible w16cex:durableId="24E1CF31" w16cex:dateUtc="2021-09-07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6013F" w16cid:durableId="24E1B9F8"/>
  <w16cid:commentId w16cid:paraId="0173CA67" w16cid:durableId="24E1C927"/>
  <w16cid:commentId w16cid:paraId="3A9EB3A6" w16cid:durableId="24E1C9DD"/>
  <w16cid:commentId w16cid:paraId="6A7AFF83" w16cid:durableId="24E1BAD4"/>
  <w16cid:commentId w16cid:paraId="6CFC23C1" w16cid:durableId="24E1BB5E"/>
  <w16cid:commentId w16cid:paraId="1F5904B8" w16cid:durableId="24E1CF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0377" w14:textId="77777777" w:rsidR="00E81860" w:rsidRDefault="00E81860">
      <w:r>
        <w:separator/>
      </w:r>
    </w:p>
  </w:endnote>
  <w:endnote w:type="continuationSeparator" w:id="0">
    <w:p w14:paraId="2D5083DB" w14:textId="77777777" w:rsidR="00E81860" w:rsidRDefault="00E8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KNBO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075C" w14:textId="77777777" w:rsidR="00DD2376" w:rsidRDefault="00DD2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12798" w14:textId="77777777" w:rsidR="00DD2376" w:rsidRDefault="00DD2376">
    <w:pPr>
      <w:pStyle w:val="Footer"/>
      <w:ind w:right="360"/>
    </w:pPr>
  </w:p>
  <w:p w14:paraId="5088BD85" w14:textId="77777777" w:rsidR="00DD2376" w:rsidRDefault="00DD23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98DE" w14:textId="62A98375" w:rsidR="00DD2376" w:rsidRPr="006C6544" w:rsidRDefault="00DD2376" w:rsidP="0010498B">
    <w:pPr>
      <w:pStyle w:val="Footer"/>
      <w:ind w:right="360"/>
      <w:jc w:val="right"/>
      <w:rPr>
        <w:rFonts w:ascii="Arial" w:hAnsi="Arial" w:cs="Arial"/>
        <w:sz w:val="18"/>
        <w:szCs w:val="18"/>
      </w:rPr>
    </w:pPr>
    <w:r w:rsidRPr="006C6544">
      <w:rPr>
        <w:rStyle w:val="PageNumber"/>
        <w:rFonts w:ascii="Arial" w:hAnsi="Arial" w:cs="Arial"/>
        <w:b/>
        <w:sz w:val="18"/>
        <w:szCs w:val="18"/>
      </w:rPr>
      <w:fldChar w:fldCharType="begin"/>
    </w:r>
    <w:r w:rsidRPr="006C6544">
      <w:rPr>
        <w:rStyle w:val="PageNumber"/>
        <w:rFonts w:ascii="Arial" w:hAnsi="Arial" w:cs="Arial"/>
        <w:b/>
        <w:sz w:val="18"/>
        <w:szCs w:val="18"/>
      </w:rPr>
      <w:instrText xml:space="preserve"> PAGE </w:instrText>
    </w:r>
    <w:r w:rsidRPr="006C6544">
      <w:rPr>
        <w:rStyle w:val="PageNumber"/>
        <w:rFonts w:ascii="Arial" w:hAnsi="Arial" w:cs="Arial"/>
        <w:b/>
        <w:sz w:val="18"/>
        <w:szCs w:val="18"/>
      </w:rPr>
      <w:fldChar w:fldCharType="separate"/>
    </w:r>
    <w:r w:rsidR="002B63B5">
      <w:rPr>
        <w:rStyle w:val="PageNumber"/>
        <w:rFonts w:ascii="Arial" w:hAnsi="Arial" w:cs="Arial"/>
        <w:b/>
        <w:noProof/>
        <w:sz w:val="18"/>
        <w:szCs w:val="18"/>
      </w:rPr>
      <w:t>6</w:t>
    </w:r>
    <w:r w:rsidRPr="006C6544">
      <w:rPr>
        <w:rStyle w:val="PageNumber"/>
        <w:rFonts w:ascii="Arial" w:hAnsi="Arial" w:cs="Arial"/>
        <w:b/>
        <w:sz w:val="18"/>
        <w:szCs w:val="18"/>
      </w:rPr>
      <w:fldChar w:fldCharType="end"/>
    </w:r>
    <w:r w:rsidRPr="006C6544">
      <w:rPr>
        <w:rStyle w:val="PageNumber"/>
        <w:rFonts w:ascii="Arial" w:hAnsi="Arial" w:cs="Arial"/>
        <w:sz w:val="18"/>
        <w:szCs w:val="18"/>
      </w:rPr>
      <w:t>/</w:t>
    </w:r>
    <w:r w:rsidRPr="006C6544">
      <w:rPr>
        <w:rStyle w:val="PageNumber"/>
        <w:rFonts w:ascii="Arial" w:hAnsi="Arial" w:cs="Arial"/>
        <w:sz w:val="18"/>
        <w:szCs w:val="18"/>
      </w:rPr>
      <w:fldChar w:fldCharType="begin"/>
    </w:r>
    <w:r w:rsidRPr="006C6544">
      <w:rPr>
        <w:rStyle w:val="PageNumber"/>
        <w:rFonts w:ascii="Arial" w:hAnsi="Arial" w:cs="Arial"/>
        <w:sz w:val="18"/>
        <w:szCs w:val="18"/>
      </w:rPr>
      <w:instrText xml:space="preserve"> NUMPAGES </w:instrText>
    </w:r>
    <w:r w:rsidRPr="006C6544">
      <w:rPr>
        <w:rStyle w:val="PageNumber"/>
        <w:rFonts w:ascii="Arial" w:hAnsi="Arial" w:cs="Arial"/>
        <w:sz w:val="18"/>
        <w:szCs w:val="18"/>
      </w:rPr>
      <w:fldChar w:fldCharType="separate"/>
    </w:r>
    <w:r w:rsidR="002B63B5">
      <w:rPr>
        <w:rStyle w:val="PageNumber"/>
        <w:rFonts w:ascii="Arial" w:hAnsi="Arial" w:cs="Arial"/>
        <w:noProof/>
        <w:sz w:val="18"/>
        <w:szCs w:val="18"/>
      </w:rPr>
      <w:t>7</w:t>
    </w:r>
    <w:r w:rsidRPr="006C6544">
      <w:rPr>
        <w:rStyle w:val="PageNumber"/>
        <w:rFonts w:ascii="Arial" w:hAnsi="Arial" w:cs="Arial"/>
        <w:sz w:val="18"/>
        <w:szCs w:val="18"/>
      </w:rPr>
      <w:fldChar w:fldCharType="end"/>
    </w:r>
  </w:p>
  <w:p w14:paraId="2CCD288F" w14:textId="77777777" w:rsidR="00DD2376" w:rsidRDefault="00DD23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349"/>
      <w:gridCol w:w="1341"/>
      <w:gridCol w:w="3793"/>
      <w:gridCol w:w="3155"/>
    </w:tblGrid>
    <w:tr w:rsidR="00DD2376" w:rsidRPr="00D93CFD" w14:paraId="343B9DB3" w14:textId="77777777" w:rsidTr="00D67076">
      <w:tc>
        <w:tcPr>
          <w:tcW w:w="1354" w:type="dxa"/>
          <w:vAlign w:val="center"/>
        </w:tcPr>
        <w:p w14:paraId="38C0808E" w14:textId="77777777" w:rsidR="00DD2376" w:rsidRPr="00D93CFD" w:rsidRDefault="00DD2376" w:rsidP="00D67076">
          <w:pPr>
            <w:jc w:val="center"/>
            <w:rPr>
              <w:rFonts w:ascii="Tahoma" w:hAnsi="Tahoma" w:cs="Tahoma"/>
            </w:rPr>
          </w:pPr>
          <w:r>
            <w:rPr>
              <w:rFonts w:ascii="Tahoma" w:hAnsi="Tahoma" w:cs="Tahoma"/>
              <w:noProof/>
              <w:lang w:eastAsia="en-GB"/>
            </w:rPr>
            <w:drawing>
              <wp:inline distT="0" distB="0" distL="0" distR="0" wp14:anchorId="40ED8FF6" wp14:editId="74B8A6E8">
                <wp:extent cx="619125" cy="676275"/>
                <wp:effectExtent l="19050" t="0" r="9525" b="0"/>
                <wp:docPr id="12" name="Picture 12" descr="UR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 logo blue"/>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tc>
      <w:tc>
        <w:tcPr>
          <w:tcW w:w="1358" w:type="dxa"/>
          <w:vAlign w:val="center"/>
        </w:tcPr>
        <w:p w14:paraId="4C109D14" w14:textId="77777777" w:rsidR="00DD2376" w:rsidRPr="00D93CFD" w:rsidRDefault="00DD2376" w:rsidP="00D67076">
          <w:pPr>
            <w:jc w:val="center"/>
          </w:pPr>
          <w:r>
            <w:rPr>
              <w:rFonts w:ascii="Arial" w:hAnsi="Arial" w:cs="Arial"/>
              <w:noProof/>
              <w:sz w:val="20"/>
              <w:lang w:eastAsia="en-GB"/>
            </w:rPr>
            <w:drawing>
              <wp:inline distT="0" distB="0" distL="0" distR="0" wp14:anchorId="6AE80A9D" wp14:editId="62EC1E72">
                <wp:extent cx="457200" cy="685800"/>
                <wp:effectExtent l="19050" t="0" r="0" b="0"/>
                <wp:docPr id="13" name="Picture 13" desc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myk"/>
                        <pic:cNvPicPr>
                          <a:picLocks noChangeAspect="1" noChangeArrowheads="1"/>
                        </pic:cNvPicPr>
                      </pic:nvPicPr>
                      <pic:blipFill>
                        <a:blip r:embed="rId2"/>
                        <a:srcRect/>
                        <a:stretch>
                          <a:fillRect/>
                        </a:stretch>
                      </pic:blipFill>
                      <pic:spPr bwMode="auto">
                        <a:xfrm>
                          <a:off x="0" y="0"/>
                          <a:ext cx="457200" cy="685800"/>
                        </a:xfrm>
                        <a:prstGeom prst="rect">
                          <a:avLst/>
                        </a:prstGeom>
                        <a:noFill/>
                        <a:ln w="9525">
                          <a:noFill/>
                          <a:miter lim="800000"/>
                          <a:headEnd/>
                          <a:tailEnd/>
                        </a:ln>
                      </pic:spPr>
                    </pic:pic>
                  </a:graphicData>
                </a:graphic>
              </wp:inline>
            </w:drawing>
          </w:r>
        </w:p>
      </w:tc>
      <w:tc>
        <w:tcPr>
          <w:tcW w:w="3912" w:type="dxa"/>
        </w:tcPr>
        <w:p w14:paraId="3466EBC5"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UNEP </w:t>
          </w:r>
          <w:r>
            <w:rPr>
              <w:rFonts w:ascii="Tahoma" w:hAnsi="Tahoma" w:cs="Tahoma"/>
              <w:sz w:val="16"/>
              <w:szCs w:val="16"/>
            </w:rPr>
            <w:t>DTU</w:t>
          </w:r>
          <w:r w:rsidRPr="00D93CFD">
            <w:rPr>
              <w:rFonts w:ascii="Tahoma" w:hAnsi="Tahoma" w:cs="Tahoma"/>
              <w:sz w:val="16"/>
              <w:szCs w:val="16"/>
            </w:rPr>
            <w:t xml:space="preserve"> </w:t>
          </w:r>
          <w:r>
            <w:rPr>
              <w:rFonts w:ascii="Tahoma" w:hAnsi="Tahoma" w:cs="Tahoma"/>
              <w:sz w:val="16"/>
              <w:szCs w:val="16"/>
            </w:rPr>
            <w:t>Partnership</w:t>
          </w:r>
        </w:p>
        <w:p w14:paraId="6B6FC6CC"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DTU Management Engineering </w:t>
          </w:r>
        </w:p>
        <w:p w14:paraId="3A2A5EF8" w14:textId="77777777" w:rsidR="00DD2376" w:rsidRPr="00D93CFD" w:rsidRDefault="00DD2376" w:rsidP="00262806">
          <w:pPr>
            <w:rPr>
              <w:rFonts w:ascii="Tahoma" w:hAnsi="Tahoma" w:cs="Tahoma"/>
              <w:sz w:val="16"/>
              <w:szCs w:val="16"/>
            </w:rPr>
          </w:pPr>
          <w:r w:rsidRPr="00D93CFD">
            <w:rPr>
              <w:rFonts w:ascii="Tahoma" w:hAnsi="Tahoma" w:cs="Tahoma"/>
              <w:sz w:val="16"/>
              <w:szCs w:val="16"/>
            </w:rPr>
            <w:t>Technical University of Denmark – DTU</w:t>
          </w:r>
        </w:p>
        <w:p w14:paraId="068A2870" w14:textId="77777777" w:rsidR="00DD2376" w:rsidRPr="00D93CFD" w:rsidRDefault="00DD2376" w:rsidP="00262806">
          <w:pPr>
            <w:rPr>
              <w:rFonts w:ascii="Tahoma" w:hAnsi="Tahoma" w:cs="Tahoma"/>
              <w:sz w:val="16"/>
              <w:szCs w:val="16"/>
            </w:rPr>
          </w:pPr>
          <w:r>
            <w:rPr>
              <w:rFonts w:ascii="Tahoma" w:hAnsi="Tahoma" w:cs="Tahoma"/>
              <w:sz w:val="16"/>
              <w:szCs w:val="16"/>
            </w:rPr>
            <w:t xml:space="preserve">UN City, </w:t>
          </w:r>
          <w:proofErr w:type="spellStart"/>
          <w:r>
            <w:rPr>
              <w:rFonts w:ascii="Tahoma" w:hAnsi="Tahoma" w:cs="Tahoma"/>
              <w:sz w:val="16"/>
              <w:szCs w:val="16"/>
            </w:rPr>
            <w:t>Marmorvej</w:t>
          </w:r>
          <w:proofErr w:type="spellEnd"/>
          <w:r>
            <w:rPr>
              <w:rFonts w:ascii="Tahoma" w:hAnsi="Tahoma" w:cs="Tahoma"/>
              <w:sz w:val="16"/>
              <w:szCs w:val="16"/>
            </w:rPr>
            <w:t xml:space="preserve"> 51</w:t>
          </w:r>
        </w:p>
        <w:p w14:paraId="7D3E0A14" w14:textId="77777777" w:rsidR="00DD2376" w:rsidRPr="00D93CFD" w:rsidRDefault="00DD2376" w:rsidP="003A50F2">
          <w:pPr>
            <w:rPr>
              <w:rFonts w:ascii="Tahoma" w:hAnsi="Tahoma" w:cs="Tahoma"/>
              <w:sz w:val="16"/>
              <w:szCs w:val="16"/>
            </w:rPr>
          </w:pPr>
          <w:r w:rsidRPr="00D93CFD">
            <w:rPr>
              <w:rFonts w:ascii="Tahoma" w:hAnsi="Tahoma" w:cs="Tahoma"/>
              <w:sz w:val="16"/>
              <w:szCs w:val="16"/>
            </w:rPr>
            <w:t>DK-</w:t>
          </w:r>
          <w:r>
            <w:rPr>
              <w:rFonts w:ascii="Tahoma" w:hAnsi="Tahoma" w:cs="Tahoma"/>
              <w:sz w:val="16"/>
              <w:szCs w:val="16"/>
            </w:rPr>
            <w:t>2100</w:t>
          </w:r>
          <w:r w:rsidRPr="00D93CFD">
            <w:rPr>
              <w:rFonts w:ascii="Tahoma" w:hAnsi="Tahoma" w:cs="Tahoma"/>
              <w:sz w:val="16"/>
              <w:szCs w:val="16"/>
            </w:rPr>
            <w:t xml:space="preserve"> </w:t>
          </w:r>
          <w:r>
            <w:rPr>
              <w:rFonts w:ascii="Tahoma" w:hAnsi="Tahoma" w:cs="Tahoma"/>
              <w:sz w:val="16"/>
              <w:szCs w:val="16"/>
            </w:rPr>
            <w:t>Copenhagen Ø</w:t>
          </w:r>
          <w:r w:rsidRPr="00D93CFD">
            <w:rPr>
              <w:rFonts w:ascii="Tahoma" w:hAnsi="Tahoma" w:cs="Tahoma"/>
              <w:sz w:val="16"/>
              <w:szCs w:val="16"/>
            </w:rPr>
            <w:t>, Denmark</w:t>
          </w:r>
        </w:p>
      </w:tc>
      <w:tc>
        <w:tcPr>
          <w:tcW w:w="3230" w:type="dxa"/>
        </w:tcPr>
        <w:p w14:paraId="5015A6B6"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Phone </w:t>
          </w:r>
          <w:r w:rsidRPr="00D93CFD">
            <w:rPr>
              <w:rFonts w:ascii="Tahoma" w:hAnsi="Tahoma" w:cs="Tahoma"/>
              <w:sz w:val="16"/>
              <w:szCs w:val="16"/>
            </w:rPr>
            <w:tab/>
            <w:t xml:space="preserve">+45 </w:t>
          </w:r>
          <w:r>
            <w:rPr>
              <w:rFonts w:ascii="Tahoma" w:hAnsi="Tahoma" w:cs="Tahoma"/>
              <w:sz w:val="16"/>
              <w:szCs w:val="16"/>
            </w:rPr>
            <w:t>4533 5250</w:t>
          </w:r>
        </w:p>
        <w:p w14:paraId="69A98149" w14:textId="77777777" w:rsidR="00DD2376" w:rsidRPr="00D93CFD" w:rsidRDefault="00DD2376" w:rsidP="00262806">
          <w:pPr>
            <w:rPr>
              <w:rFonts w:ascii="Tahoma" w:hAnsi="Tahoma" w:cs="Tahoma"/>
              <w:sz w:val="16"/>
              <w:szCs w:val="16"/>
            </w:rPr>
          </w:pPr>
          <w:r w:rsidRPr="00D93CFD">
            <w:rPr>
              <w:rFonts w:ascii="Tahoma" w:hAnsi="Tahoma" w:cs="Tahoma"/>
              <w:sz w:val="16"/>
              <w:szCs w:val="16"/>
            </w:rPr>
            <w:t xml:space="preserve">Fax </w:t>
          </w:r>
          <w:r w:rsidRPr="00D93CFD">
            <w:rPr>
              <w:rFonts w:ascii="Tahoma" w:hAnsi="Tahoma" w:cs="Tahoma"/>
              <w:sz w:val="16"/>
              <w:szCs w:val="16"/>
            </w:rPr>
            <w:tab/>
          </w:r>
        </w:p>
        <w:p w14:paraId="26D1C050" w14:textId="77777777" w:rsidR="00DD2376" w:rsidRPr="00D93CFD" w:rsidRDefault="00DD2376" w:rsidP="00262806">
          <w:pPr>
            <w:rPr>
              <w:rFonts w:ascii="Tahoma" w:hAnsi="Tahoma" w:cs="Tahoma"/>
              <w:sz w:val="16"/>
              <w:szCs w:val="16"/>
            </w:rPr>
          </w:pPr>
          <w:r w:rsidRPr="00D93CFD">
            <w:rPr>
              <w:rFonts w:ascii="Tahoma" w:hAnsi="Tahoma" w:cs="Tahoma"/>
              <w:sz w:val="16"/>
              <w:szCs w:val="16"/>
            </w:rPr>
            <w:t>unep@dtu.dk</w:t>
          </w:r>
        </w:p>
        <w:p w14:paraId="57CB7B07" w14:textId="77777777" w:rsidR="00DD2376" w:rsidRPr="00D93CFD" w:rsidRDefault="00DD2376" w:rsidP="00375742">
          <w:pPr>
            <w:rPr>
              <w:rFonts w:ascii="Tahoma" w:hAnsi="Tahoma" w:cs="Tahoma"/>
              <w:sz w:val="16"/>
              <w:szCs w:val="16"/>
            </w:rPr>
          </w:pPr>
          <w:r w:rsidRPr="00D93CFD">
            <w:rPr>
              <w:rFonts w:ascii="Tahoma" w:hAnsi="Tahoma" w:cs="Tahoma"/>
              <w:sz w:val="16"/>
              <w:szCs w:val="16"/>
            </w:rPr>
            <w:t>www.unep</w:t>
          </w:r>
          <w:r>
            <w:rPr>
              <w:rFonts w:ascii="Tahoma" w:hAnsi="Tahoma" w:cs="Tahoma"/>
              <w:sz w:val="16"/>
              <w:szCs w:val="16"/>
            </w:rPr>
            <w:t>dtu</w:t>
          </w:r>
          <w:r w:rsidRPr="00D93CFD">
            <w:rPr>
              <w:rFonts w:ascii="Tahoma" w:hAnsi="Tahoma" w:cs="Tahoma"/>
              <w:sz w:val="16"/>
              <w:szCs w:val="16"/>
            </w:rPr>
            <w:t>.org</w:t>
          </w:r>
        </w:p>
      </w:tc>
    </w:tr>
  </w:tbl>
  <w:p w14:paraId="6E1DB3EA" w14:textId="77777777" w:rsidR="00DD2376" w:rsidRPr="00D93CFD" w:rsidRDefault="00DD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8874" w14:textId="77777777" w:rsidR="00E81860" w:rsidRDefault="00E81860">
      <w:r>
        <w:separator/>
      </w:r>
    </w:p>
  </w:footnote>
  <w:footnote w:type="continuationSeparator" w:id="0">
    <w:p w14:paraId="75FE3E39" w14:textId="77777777" w:rsidR="00E81860" w:rsidRDefault="00E8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2F0C" w14:textId="77777777" w:rsidR="00DD2376" w:rsidRDefault="00DD2376">
    <w:pPr>
      <w:pStyle w:val="Header"/>
    </w:pPr>
    <w:r>
      <w:rPr>
        <w:noProof/>
        <w:lang w:val="en-GB" w:eastAsia="en-GB"/>
      </w:rPr>
      <w:drawing>
        <wp:anchor distT="0" distB="0" distL="114300" distR="114300" simplePos="0" relativeHeight="251658752" behindDoc="0" locked="0" layoutInCell="1" allowOverlap="1" wp14:anchorId="2B1113AA" wp14:editId="492C3B59">
          <wp:simplePos x="0" y="0"/>
          <wp:positionH relativeFrom="column">
            <wp:posOffset>4868190</wp:posOffset>
          </wp:positionH>
          <wp:positionV relativeFrom="paragraph">
            <wp:posOffset>-308940</wp:posOffset>
          </wp:positionV>
          <wp:extent cx="1803400" cy="706755"/>
          <wp:effectExtent l="0" t="0" r="6350" b="0"/>
          <wp:wrapSquare wrapText="bothSides"/>
          <wp:docPr id="11" name="Picture 11" descr="UDP-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P-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0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248F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FDA4F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1EF5"/>
    <w:multiLevelType w:val="hybridMultilevel"/>
    <w:tmpl w:val="0AFCDD06"/>
    <w:lvl w:ilvl="0" w:tplc="6C8CBBBE">
      <w:start w:val="1"/>
      <w:numFmt w:val="decimal"/>
      <w:lvlText w:val="%1."/>
      <w:lvlJc w:val="left"/>
      <w:pPr>
        <w:ind w:left="720" w:hanging="360"/>
      </w:pPr>
      <w:rPr>
        <w:rFonts w:eastAsia="Times New Roman" w:hAnsi="Times New Roman" w:cs="Times New Roman"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3136D"/>
    <w:multiLevelType w:val="hybridMultilevel"/>
    <w:tmpl w:val="DFC89084"/>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5553D"/>
    <w:multiLevelType w:val="hybridMultilevel"/>
    <w:tmpl w:val="3402AA80"/>
    <w:lvl w:ilvl="0" w:tplc="B1883352">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56F225B"/>
    <w:multiLevelType w:val="hybridMultilevel"/>
    <w:tmpl w:val="368E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E7AE9"/>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7" w15:restartNumberingAfterBreak="0">
    <w:nsid w:val="0B296515"/>
    <w:multiLevelType w:val="hybridMultilevel"/>
    <w:tmpl w:val="92AE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036A5"/>
    <w:multiLevelType w:val="hybridMultilevel"/>
    <w:tmpl w:val="68A28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751403"/>
    <w:multiLevelType w:val="hybridMultilevel"/>
    <w:tmpl w:val="F0F0C678"/>
    <w:lvl w:ilvl="0" w:tplc="81F079CA">
      <w:start w:val="1"/>
      <w:numFmt w:val="decimal"/>
      <w:lvlText w:val="%1."/>
      <w:lvlJc w:val="left"/>
      <w:pPr>
        <w:ind w:left="1777" w:hanging="320"/>
      </w:pPr>
      <w:rPr>
        <w:rFonts w:ascii="Arial" w:eastAsia="Arial" w:hAnsi="Arial" w:hint="default"/>
        <w:color w:val="181818"/>
        <w:w w:val="97"/>
        <w:sz w:val="18"/>
        <w:szCs w:val="18"/>
      </w:rPr>
    </w:lvl>
    <w:lvl w:ilvl="1" w:tplc="A7367394">
      <w:start w:val="1"/>
      <w:numFmt w:val="bullet"/>
      <w:lvlText w:val="•"/>
      <w:lvlJc w:val="left"/>
      <w:pPr>
        <w:ind w:left="2622" w:hanging="320"/>
      </w:pPr>
      <w:rPr>
        <w:rFonts w:hint="default"/>
      </w:rPr>
    </w:lvl>
    <w:lvl w:ilvl="2" w:tplc="77B86458">
      <w:start w:val="1"/>
      <w:numFmt w:val="bullet"/>
      <w:lvlText w:val="•"/>
      <w:lvlJc w:val="left"/>
      <w:pPr>
        <w:ind w:left="3466" w:hanging="320"/>
      </w:pPr>
      <w:rPr>
        <w:rFonts w:hint="default"/>
      </w:rPr>
    </w:lvl>
    <w:lvl w:ilvl="3" w:tplc="1FFA0DC8">
      <w:start w:val="1"/>
      <w:numFmt w:val="bullet"/>
      <w:lvlText w:val="•"/>
      <w:lvlJc w:val="left"/>
      <w:pPr>
        <w:ind w:left="4311" w:hanging="320"/>
      </w:pPr>
      <w:rPr>
        <w:rFonts w:hint="default"/>
      </w:rPr>
    </w:lvl>
    <w:lvl w:ilvl="4" w:tplc="FF667E5C">
      <w:start w:val="1"/>
      <w:numFmt w:val="bullet"/>
      <w:lvlText w:val="•"/>
      <w:lvlJc w:val="left"/>
      <w:pPr>
        <w:ind w:left="5156" w:hanging="320"/>
      </w:pPr>
      <w:rPr>
        <w:rFonts w:hint="default"/>
      </w:rPr>
    </w:lvl>
    <w:lvl w:ilvl="5" w:tplc="F970038A">
      <w:start w:val="1"/>
      <w:numFmt w:val="bullet"/>
      <w:lvlText w:val="•"/>
      <w:lvlJc w:val="left"/>
      <w:pPr>
        <w:ind w:left="6000" w:hanging="320"/>
      </w:pPr>
      <w:rPr>
        <w:rFonts w:hint="default"/>
      </w:rPr>
    </w:lvl>
    <w:lvl w:ilvl="6" w:tplc="2C5AC750">
      <w:start w:val="1"/>
      <w:numFmt w:val="bullet"/>
      <w:lvlText w:val="•"/>
      <w:lvlJc w:val="left"/>
      <w:pPr>
        <w:ind w:left="6845" w:hanging="320"/>
      </w:pPr>
      <w:rPr>
        <w:rFonts w:hint="default"/>
      </w:rPr>
    </w:lvl>
    <w:lvl w:ilvl="7" w:tplc="02CA4298">
      <w:start w:val="1"/>
      <w:numFmt w:val="bullet"/>
      <w:lvlText w:val="•"/>
      <w:lvlJc w:val="left"/>
      <w:pPr>
        <w:ind w:left="7690" w:hanging="320"/>
      </w:pPr>
      <w:rPr>
        <w:rFonts w:hint="default"/>
      </w:rPr>
    </w:lvl>
    <w:lvl w:ilvl="8" w:tplc="531A8210">
      <w:start w:val="1"/>
      <w:numFmt w:val="bullet"/>
      <w:lvlText w:val="•"/>
      <w:lvlJc w:val="left"/>
      <w:pPr>
        <w:ind w:left="8534" w:hanging="320"/>
      </w:pPr>
      <w:rPr>
        <w:rFonts w:hint="default"/>
      </w:rPr>
    </w:lvl>
  </w:abstractNum>
  <w:abstractNum w:abstractNumId="10" w15:restartNumberingAfterBreak="0">
    <w:nsid w:val="18B21588"/>
    <w:multiLevelType w:val="hybridMultilevel"/>
    <w:tmpl w:val="77349168"/>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19807484"/>
    <w:multiLevelType w:val="hybridMultilevel"/>
    <w:tmpl w:val="8ECA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628A"/>
    <w:multiLevelType w:val="hybridMultilevel"/>
    <w:tmpl w:val="E20465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29158A"/>
    <w:multiLevelType w:val="hybridMultilevel"/>
    <w:tmpl w:val="FBA8FAF0"/>
    <w:lvl w:ilvl="0" w:tplc="839A0A14">
      <w:start w:val="7"/>
      <w:numFmt w:val="lowerLetter"/>
      <w:lvlText w:val="%1)"/>
      <w:lvlJc w:val="left"/>
      <w:pPr>
        <w:ind w:left="2016" w:hanging="343"/>
      </w:pPr>
      <w:rPr>
        <w:rFonts w:ascii="Arial" w:eastAsia="Arial" w:hAnsi="Arial" w:hint="default"/>
        <w:color w:val="1A1A1A"/>
        <w:w w:val="98"/>
        <w:sz w:val="18"/>
        <w:szCs w:val="18"/>
      </w:rPr>
    </w:lvl>
    <w:lvl w:ilvl="1" w:tplc="E9449490">
      <w:start w:val="1"/>
      <w:numFmt w:val="bullet"/>
      <w:lvlText w:val="•"/>
      <w:lvlJc w:val="left"/>
      <w:pPr>
        <w:ind w:left="2856" w:hanging="343"/>
      </w:pPr>
      <w:rPr>
        <w:rFonts w:hint="default"/>
      </w:rPr>
    </w:lvl>
    <w:lvl w:ilvl="2" w:tplc="FA46166C">
      <w:start w:val="1"/>
      <w:numFmt w:val="bullet"/>
      <w:lvlText w:val="•"/>
      <w:lvlJc w:val="left"/>
      <w:pPr>
        <w:ind w:left="3697" w:hanging="343"/>
      </w:pPr>
      <w:rPr>
        <w:rFonts w:hint="default"/>
      </w:rPr>
    </w:lvl>
    <w:lvl w:ilvl="3" w:tplc="B0FAE46C">
      <w:start w:val="1"/>
      <w:numFmt w:val="bullet"/>
      <w:lvlText w:val="•"/>
      <w:lvlJc w:val="left"/>
      <w:pPr>
        <w:ind w:left="4538" w:hanging="343"/>
      </w:pPr>
      <w:rPr>
        <w:rFonts w:hint="default"/>
      </w:rPr>
    </w:lvl>
    <w:lvl w:ilvl="4" w:tplc="B13CB904">
      <w:start w:val="1"/>
      <w:numFmt w:val="bullet"/>
      <w:lvlText w:val="•"/>
      <w:lvlJc w:val="left"/>
      <w:pPr>
        <w:ind w:left="5379" w:hanging="343"/>
      </w:pPr>
      <w:rPr>
        <w:rFonts w:hint="default"/>
      </w:rPr>
    </w:lvl>
    <w:lvl w:ilvl="5" w:tplc="3E2433D4">
      <w:start w:val="1"/>
      <w:numFmt w:val="bullet"/>
      <w:lvlText w:val="•"/>
      <w:lvlJc w:val="left"/>
      <w:pPr>
        <w:ind w:left="6220" w:hanging="343"/>
      </w:pPr>
      <w:rPr>
        <w:rFonts w:hint="default"/>
      </w:rPr>
    </w:lvl>
    <w:lvl w:ilvl="6" w:tplc="95D20688">
      <w:start w:val="1"/>
      <w:numFmt w:val="bullet"/>
      <w:lvlText w:val="•"/>
      <w:lvlJc w:val="left"/>
      <w:pPr>
        <w:ind w:left="7060" w:hanging="343"/>
      </w:pPr>
      <w:rPr>
        <w:rFonts w:hint="default"/>
      </w:rPr>
    </w:lvl>
    <w:lvl w:ilvl="7" w:tplc="EEB680FA">
      <w:start w:val="1"/>
      <w:numFmt w:val="bullet"/>
      <w:lvlText w:val="•"/>
      <w:lvlJc w:val="left"/>
      <w:pPr>
        <w:ind w:left="7901" w:hanging="343"/>
      </w:pPr>
      <w:rPr>
        <w:rFonts w:hint="default"/>
      </w:rPr>
    </w:lvl>
    <w:lvl w:ilvl="8" w:tplc="9690A588">
      <w:start w:val="1"/>
      <w:numFmt w:val="bullet"/>
      <w:lvlText w:val="•"/>
      <w:lvlJc w:val="left"/>
      <w:pPr>
        <w:ind w:left="8742" w:hanging="343"/>
      </w:pPr>
      <w:rPr>
        <w:rFonts w:hint="default"/>
      </w:rPr>
    </w:lvl>
  </w:abstractNum>
  <w:abstractNum w:abstractNumId="14" w15:restartNumberingAfterBreak="0">
    <w:nsid w:val="22124927"/>
    <w:multiLevelType w:val="hybridMultilevel"/>
    <w:tmpl w:val="6674E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094561"/>
    <w:multiLevelType w:val="hybridMultilevel"/>
    <w:tmpl w:val="B2C269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E2205C3"/>
    <w:multiLevelType w:val="hybridMultilevel"/>
    <w:tmpl w:val="A17A6496"/>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3FB65EDF"/>
    <w:multiLevelType w:val="hybridMultilevel"/>
    <w:tmpl w:val="5308A946"/>
    <w:lvl w:ilvl="0" w:tplc="3E743218">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15:restartNumberingAfterBreak="0">
    <w:nsid w:val="441F2C0A"/>
    <w:multiLevelType w:val="multilevel"/>
    <w:tmpl w:val="023E47D0"/>
    <w:lvl w:ilvl="0">
      <w:start w:val="1"/>
      <w:numFmt w:val="decimal"/>
      <w:pStyle w:val="Heading1"/>
      <w:lvlText w:val="Article %1 -"/>
      <w:lvlJc w:val="left"/>
      <w:pPr>
        <w:tabs>
          <w:tab w:val="num" w:pos="1080"/>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4BB6B07"/>
    <w:multiLevelType w:val="hybridMultilevel"/>
    <w:tmpl w:val="470E7B6A"/>
    <w:lvl w:ilvl="0" w:tplc="D3F89202">
      <w:start w:val="1"/>
      <w:numFmt w:val="bullet"/>
      <w:lvlText w:val=""/>
      <w:lvlJc w:val="left"/>
      <w:pPr>
        <w:ind w:left="1688" w:hanging="360"/>
      </w:pPr>
      <w:rPr>
        <w:rFonts w:ascii="Symbol" w:hAnsi="Symbol" w:hint="default"/>
        <w:u w:color="4F81BD" w:themeColor="accent1"/>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20" w15:restartNumberingAfterBreak="0">
    <w:nsid w:val="653851A1"/>
    <w:multiLevelType w:val="multilevel"/>
    <w:tmpl w:val="97840D26"/>
    <w:lvl w:ilvl="0">
      <w:start w:val="9"/>
      <w:numFmt w:val="decimal"/>
      <w:lvlText w:val="%1"/>
      <w:lvlJc w:val="left"/>
      <w:pPr>
        <w:ind w:left="1064" w:hanging="807"/>
      </w:pPr>
      <w:rPr>
        <w:rFonts w:hint="default"/>
      </w:rPr>
    </w:lvl>
    <w:lvl w:ilvl="1">
      <w:start w:val="2"/>
      <w:numFmt w:val="decimal"/>
      <w:lvlText w:val="%1.%2"/>
      <w:lvlJc w:val="left"/>
      <w:pPr>
        <w:ind w:left="1064" w:hanging="807"/>
      </w:pPr>
      <w:rPr>
        <w:rFonts w:ascii="Arial" w:eastAsia="Arial" w:hAnsi="Arial" w:hint="default"/>
        <w:color w:val="2A2A2A"/>
        <w:w w:val="105"/>
        <w:sz w:val="16"/>
        <w:szCs w:val="16"/>
      </w:rPr>
    </w:lvl>
    <w:lvl w:ilvl="2">
      <w:start w:val="1"/>
      <w:numFmt w:val="lowerLetter"/>
      <w:lvlText w:val="%3."/>
      <w:lvlJc w:val="left"/>
      <w:pPr>
        <w:ind w:left="1270" w:hanging="363"/>
      </w:pPr>
      <w:rPr>
        <w:rFonts w:ascii="Arial" w:eastAsia="Arial" w:hAnsi="Arial" w:hint="default"/>
        <w:color w:val="212121"/>
        <w:w w:val="104"/>
        <w:sz w:val="17"/>
        <w:szCs w:val="17"/>
      </w:rPr>
    </w:lvl>
    <w:lvl w:ilvl="3">
      <w:start w:val="1"/>
      <w:numFmt w:val="lowerLetter"/>
      <w:lvlText w:val="%4)"/>
      <w:lvlJc w:val="left"/>
      <w:pPr>
        <w:ind w:left="2025" w:hanging="338"/>
      </w:pPr>
      <w:rPr>
        <w:rFonts w:ascii="Arial" w:eastAsia="Arial" w:hAnsi="Arial" w:hint="default"/>
        <w:color w:val="1A1A1A"/>
        <w:w w:val="102"/>
        <w:sz w:val="18"/>
        <w:szCs w:val="18"/>
      </w:rPr>
    </w:lvl>
    <w:lvl w:ilvl="4">
      <w:start w:val="1"/>
      <w:numFmt w:val="bullet"/>
      <w:lvlText w:val="•"/>
      <w:lvlJc w:val="left"/>
      <w:pPr>
        <w:ind w:left="3815" w:hanging="338"/>
      </w:pPr>
      <w:rPr>
        <w:rFonts w:hint="default"/>
      </w:rPr>
    </w:lvl>
    <w:lvl w:ilvl="5">
      <w:start w:val="1"/>
      <w:numFmt w:val="bullet"/>
      <w:lvlText w:val="•"/>
      <w:lvlJc w:val="left"/>
      <w:pPr>
        <w:ind w:left="4710" w:hanging="338"/>
      </w:pPr>
      <w:rPr>
        <w:rFonts w:hint="default"/>
      </w:rPr>
    </w:lvl>
    <w:lvl w:ilvl="6">
      <w:start w:val="1"/>
      <w:numFmt w:val="bullet"/>
      <w:lvlText w:val="•"/>
      <w:lvlJc w:val="left"/>
      <w:pPr>
        <w:ind w:left="5604" w:hanging="338"/>
      </w:pPr>
      <w:rPr>
        <w:rFonts w:hint="default"/>
      </w:rPr>
    </w:lvl>
    <w:lvl w:ilvl="7">
      <w:start w:val="1"/>
      <w:numFmt w:val="bullet"/>
      <w:lvlText w:val="•"/>
      <w:lvlJc w:val="left"/>
      <w:pPr>
        <w:ind w:left="6499" w:hanging="338"/>
      </w:pPr>
      <w:rPr>
        <w:rFonts w:hint="default"/>
      </w:rPr>
    </w:lvl>
    <w:lvl w:ilvl="8">
      <w:start w:val="1"/>
      <w:numFmt w:val="bullet"/>
      <w:lvlText w:val="•"/>
      <w:lvlJc w:val="left"/>
      <w:pPr>
        <w:ind w:left="7394" w:hanging="338"/>
      </w:pPr>
      <w:rPr>
        <w:rFonts w:hint="default"/>
      </w:rPr>
    </w:lvl>
  </w:abstractNum>
  <w:abstractNum w:abstractNumId="21" w15:restartNumberingAfterBreak="0">
    <w:nsid w:val="71587B3F"/>
    <w:multiLevelType w:val="hybridMultilevel"/>
    <w:tmpl w:val="5268F4F6"/>
    <w:lvl w:ilvl="0" w:tplc="5B289930">
      <w:start w:val="1"/>
      <w:numFmt w:val="bullet"/>
      <w:lvlText w:val=""/>
      <w:lvlJc w:val="left"/>
      <w:pPr>
        <w:tabs>
          <w:tab w:val="num" w:pos="1496"/>
        </w:tabs>
        <w:ind w:left="1496" w:hanging="360"/>
      </w:pPr>
      <w:rPr>
        <w:rFonts w:ascii="Symbol" w:hAnsi="Symbol" w:hint="default"/>
        <w:color w:val="auto"/>
      </w:rPr>
    </w:lvl>
    <w:lvl w:ilvl="1" w:tplc="04090003" w:tentative="1">
      <w:start w:val="1"/>
      <w:numFmt w:val="bullet"/>
      <w:lvlText w:val="o"/>
      <w:lvlJc w:val="left"/>
      <w:pPr>
        <w:tabs>
          <w:tab w:val="num" w:pos="2576"/>
        </w:tabs>
        <w:ind w:left="2576" w:hanging="360"/>
      </w:pPr>
      <w:rPr>
        <w:rFonts w:ascii="Courier New" w:hAnsi="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22" w15:restartNumberingAfterBreak="0">
    <w:nsid w:val="729A3C55"/>
    <w:multiLevelType w:val="hybridMultilevel"/>
    <w:tmpl w:val="AD6C92AE"/>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024D1"/>
    <w:multiLevelType w:val="hybridMultilevel"/>
    <w:tmpl w:val="58A8A3E2"/>
    <w:lvl w:ilvl="0" w:tplc="B516872E">
      <w:start w:val="1"/>
      <w:numFmt w:val="lowerLetter"/>
      <w:lvlText w:val="%1)"/>
      <w:lvlJc w:val="left"/>
      <w:pPr>
        <w:ind w:left="1140" w:hanging="350"/>
      </w:pPr>
      <w:rPr>
        <w:rFonts w:ascii="Arial" w:eastAsia="Arial" w:hAnsi="Arial" w:hint="default"/>
        <w:color w:val="1F1F1F"/>
        <w:w w:val="96"/>
        <w:sz w:val="18"/>
        <w:szCs w:val="18"/>
      </w:rPr>
    </w:lvl>
    <w:lvl w:ilvl="1" w:tplc="6C22CC2C">
      <w:start w:val="1"/>
      <w:numFmt w:val="bullet"/>
      <w:lvlText w:val="•"/>
      <w:lvlJc w:val="left"/>
      <w:pPr>
        <w:ind w:left="1941" w:hanging="350"/>
      </w:pPr>
      <w:rPr>
        <w:rFonts w:hint="default"/>
      </w:rPr>
    </w:lvl>
    <w:lvl w:ilvl="2" w:tplc="595ED406">
      <w:start w:val="1"/>
      <w:numFmt w:val="bullet"/>
      <w:lvlText w:val="•"/>
      <w:lvlJc w:val="left"/>
      <w:pPr>
        <w:ind w:left="2741" w:hanging="350"/>
      </w:pPr>
      <w:rPr>
        <w:rFonts w:hint="default"/>
      </w:rPr>
    </w:lvl>
    <w:lvl w:ilvl="3" w:tplc="77FEBC88">
      <w:start w:val="1"/>
      <w:numFmt w:val="bullet"/>
      <w:lvlText w:val="•"/>
      <w:lvlJc w:val="left"/>
      <w:pPr>
        <w:ind w:left="3541" w:hanging="350"/>
      </w:pPr>
      <w:rPr>
        <w:rFonts w:hint="default"/>
      </w:rPr>
    </w:lvl>
    <w:lvl w:ilvl="4" w:tplc="32BA76D8">
      <w:start w:val="1"/>
      <w:numFmt w:val="bullet"/>
      <w:lvlText w:val="•"/>
      <w:lvlJc w:val="left"/>
      <w:pPr>
        <w:ind w:left="4342" w:hanging="350"/>
      </w:pPr>
      <w:rPr>
        <w:rFonts w:hint="default"/>
      </w:rPr>
    </w:lvl>
    <w:lvl w:ilvl="5" w:tplc="C1849FFE">
      <w:start w:val="1"/>
      <w:numFmt w:val="bullet"/>
      <w:lvlText w:val="•"/>
      <w:lvlJc w:val="left"/>
      <w:pPr>
        <w:ind w:left="5142" w:hanging="350"/>
      </w:pPr>
      <w:rPr>
        <w:rFonts w:hint="default"/>
      </w:rPr>
    </w:lvl>
    <w:lvl w:ilvl="6" w:tplc="77D0FA08">
      <w:start w:val="1"/>
      <w:numFmt w:val="bullet"/>
      <w:lvlText w:val="•"/>
      <w:lvlJc w:val="left"/>
      <w:pPr>
        <w:ind w:left="5942" w:hanging="350"/>
      </w:pPr>
      <w:rPr>
        <w:rFonts w:hint="default"/>
      </w:rPr>
    </w:lvl>
    <w:lvl w:ilvl="7" w:tplc="B5306B3A">
      <w:start w:val="1"/>
      <w:numFmt w:val="bullet"/>
      <w:lvlText w:val="•"/>
      <w:lvlJc w:val="left"/>
      <w:pPr>
        <w:ind w:left="6743" w:hanging="350"/>
      </w:pPr>
      <w:rPr>
        <w:rFonts w:hint="default"/>
      </w:rPr>
    </w:lvl>
    <w:lvl w:ilvl="8" w:tplc="016A83BC">
      <w:start w:val="1"/>
      <w:numFmt w:val="bullet"/>
      <w:lvlText w:val="•"/>
      <w:lvlJc w:val="left"/>
      <w:pPr>
        <w:ind w:left="7543" w:hanging="350"/>
      </w:pPr>
      <w:rPr>
        <w:rFonts w:hint="default"/>
      </w:rPr>
    </w:lvl>
  </w:abstractNum>
  <w:num w:numId="1">
    <w:abstractNumId w:val="18"/>
  </w:num>
  <w:num w:numId="2">
    <w:abstractNumId w:val="21"/>
  </w:num>
  <w:num w:numId="3">
    <w:abstractNumId w:val="17"/>
  </w:num>
  <w:num w:numId="4">
    <w:abstractNumId w:val="19"/>
  </w:num>
  <w:num w:numId="5">
    <w:abstractNumId w:val="23"/>
  </w:num>
  <w:num w:numId="6">
    <w:abstractNumId w:val="13"/>
  </w:num>
  <w:num w:numId="7">
    <w:abstractNumId w:val="20"/>
  </w:num>
  <w:num w:numId="8">
    <w:abstractNumId w:val="9"/>
  </w:num>
  <w:num w:numId="9">
    <w:abstractNumId w:val="6"/>
  </w:num>
  <w:num w:numId="10">
    <w:abstractNumId w:val="5"/>
  </w:num>
  <w:num w:numId="11">
    <w:abstractNumId w:val="2"/>
  </w:num>
  <w:num w:numId="12">
    <w:abstractNumId w:val="1"/>
  </w:num>
  <w:num w:numId="13">
    <w:abstractNumId w:val="22"/>
  </w:num>
  <w:num w:numId="14">
    <w:abstractNumId w:val="0"/>
  </w:num>
  <w:num w:numId="15">
    <w:abstractNumId w:val="7"/>
  </w:num>
  <w:num w:numId="16">
    <w:abstractNumId w:val="12"/>
  </w:num>
  <w:num w:numId="17">
    <w:abstractNumId w:val="8"/>
  </w:num>
  <w:num w:numId="18">
    <w:abstractNumId w:val="15"/>
  </w:num>
  <w:num w:numId="19">
    <w:abstractNumId w:val="16"/>
  </w:num>
  <w:num w:numId="20">
    <w:abstractNumId w:val="10"/>
  </w:num>
  <w:num w:numId="21">
    <w:abstractNumId w:val="3"/>
  </w:num>
  <w:num w:numId="22">
    <w:abstractNumId w:val="11"/>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tzAxMjc0MzczMDZV0lEKTi0uzszPAykwrAUAqpZ2LiwAAAA="/>
  </w:docVars>
  <w:rsids>
    <w:rsidRoot w:val="0072012C"/>
    <w:rsid w:val="00003AC9"/>
    <w:rsid w:val="0001429C"/>
    <w:rsid w:val="00016087"/>
    <w:rsid w:val="00021535"/>
    <w:rsid w:val="00030749"/>
    <w:rsid w:val="00030EF8"/>
    <w:rsid w:val="00035252"/>
    <w:rsid w:val="00036B83"/>
    <w:rsid w:val="000540F5"/>
    <w:rsid w:val="000602AA"/>
    <w:rsid w:val="0006571C"/>
    <w:rsid w:val="00067F45"/>
    <w:rsid w:val="00081AC4"/>
    <w:rsid w:val="00081D66"/>
    <w:rsid w:val="0009238A"/>
    <w:rsid w:val="00097450"/>
    <w:rsid w:val="000A118E"/>
    <w:rsid w:val="000A1224"/>
    <w:rsid w:val="000A7C1E"/>
    <w:rsid w:val="000C1891"/>
    <w:rsid w:val="000C300E"/>
    <w:rsid w:val="000D032C"/>
    <w:rsid w:val="000D4937"/>
    <w:rsid w:val="000E3F6B"/>
    <w:rsid w:val="00103F9F"/>
    <w:rsid w:val="0010498B"/>
    <w:rsid w:val="00105956"/>
    <w:rsid w:val="0010650C"/>
    <w:rsid w:val="00110EFF"/>
    <w:rsid w:val="00111334"/>
    <w:rsid w:val="001152EF"/>
    <w:rsid w:val="00117132"/>
    <w:rsid w:val="00120A2E"/>
    <w:rsid w:val="00121F43"/>
    <w:rsid w:val="0012759D"/>
    <w:rsid w:val="00145412"/>
    <w:rsid w:val="00156286"/>
    <w:rsid w:val="0018267F"/>
    <w:rsid w:val="001A53FE"/>
    <w:rsid w:val="001B0115"/>
    <w:rsid w:val="001B29D6"/>
    <w:rsid w:val="001B2A82"/>
    <w:rsid w:val="001B5ABF"/>
    <w:rsid w:val="001B61E2"/>
    <w:rsid w:val="001B6CCA"/>
    <w:rsid w:val="001C3E23"/>
    <w:rsid w:val="001C6047"/>
    <w:rsid w:val="001D0366"/>
    <w:rsid w:val="001D4049"/>
    <w:rsid w:val="001E44CB"/>
    <w:rsid w:val="001F060E"/>
    <w:rsid w:val="001F3912"/>
    <w:rsid w:val="002003AD"/>
    <w:rsid w:val="00231DEB"/>
    <w:rsid w:val="002360E0"/>
    <w:rsid w:val="002463A7"/>
    <w:rsid w:val="002468FF"/>
    <w:rsid w:val="00246A8E"/>
    <w:rsid w:val="00256772"/>
    <w:rsid w:val="00261D91"/>
    <w:rsid w:val="00262806"/>
    <w:rsid w:val="0026719B"/>
    <w:rsid w:val="00267520"/>
    <w:rsid w:val="00273E52"/>
    <w:rsid w:val="00282FE0"/>
    <w:rsid w:val="00286C90"/>
    <w:rsid w:val="00287E9B"/>
    <w:rsid w:val="00296857"/>
    <w:rsid w:val="002A7208"/>
    <w:rsid w:val="002B0E05"/>
    <w:rsid w:val="002B1E72"/>
    <w:rsid w:val="002B63B5"/>
    <w:rsid w:val="002C0B65"/>
    <w:rsid w:val="002C7B5C"/>
    <w:rsid w:val="002D1E06"/>
    <w:rsid w:val="002D3D1E"/>
    <w:rsid w:val="002D6397"/>
    <w:rsid w:val="002E4352"/>
    <w:rsid w:val="002E7262"/>
    <w:rsid w:val="002F1364"/>
    <w:rsid w:val="002F1397"/>
    <w:rsid w:val="003072A3"/>
    <w:rsid w:val="00315316"/>
    <w:rsid w:val="00316E00"/>
    <w:rsid w:val="00332F3E"/>
    <w:rsid w:val="003406BE"/>
    <w:rsid w:val="003445DC"/>
    <w:rsid w:val="00346141"/>
    <w:rsid w:val="003465E9"/>
    <w:rsid w:val="0035564B"/>
    <w:rsid w:val="00355975"/>
    <w:rsid w:val="003575C7"/>
    <w:rsid w:val="003628ED"/>
    <w:rsid w:val="0037244F"/>
    <w:rsid w:val="00375742"/>
    <w:rsid w:val="003A01EA"/>
    <w:rsid w:val="003A3AF2"/>
    <w:rsid w:val="003A4424"/>
    <w:rsid w:val="003A50F2"/>
    <w:rsid w:val="003B0CC5"/>
    <w:rsid w:val="003B22D9"/>
    <w:rsid w:val="003B261C"/>
    <w:rsid w:val="003B3CB7"/>
    <w:rsid w:val="003B4069"/>
    <w:rsid w:val="003B7BD0"/>
    <w:rsid w:val="003C4CA8"/>
    <w:rsid w:val="003E041F"/>
    <w:rsid w:val="003E1339"/>
    <w:rsid w:val="003E1882"/>
    <w:rsid w:val="003E7DFF"/>
    <w:rsid w:val="003F4985"/>
    <w:rsid w:val="003F5057"/>
    <w:rsid w:val="003F6C5D"/>
    <w:rsid w:val="003F7897"/>
    <w:rsid w:val="00401074"/>
    <w:rsid w:val="00420FAB"/>
    <w:rsid w:val="00426027"/>
    <w:rsid w:val="00427759"/>
    <w:rsid w:val="004330C5"/>
    <w:rsid w:val="004359E8"/>
    <w:rsid w:val="00436B73"/>
    <w:rsid w:val="004415C8"/>
    <w:rsid w:val="00443C7F"/>
    <w:rsid w:val="00446F5B"/>
    <w:rsid w:val="00447AC2"/>
    <w:rsid w:val="00456E95"/>
    <w:rsid w:val="0046603D"/>
    <w:rsid w:val="00467CDF"/>
    <w:rsid w:val="00471FFA"/>
    <w:rsid w:val="00475B8F"/>
    <w:rsid w:val="00480BD4"/>
    <w:rsid w:val="00481B75"/>
    <w:rsid w:val="00492EC2"/>
    <w:rsid w:val="00496180"/>
    <w:rsid w:val="004965DE"/>
    <w:rsid w:val="00496D5C"/>
    <w:rsid w:val="004A30F2"/>
    <w:rsid w:val="004A58D2"/>
    <w:rsid w:val="004B0501"/>
    <w:rsid w:val="004B7720"/>
    <w:rsid w:val="004E6566"/>
    <w:rsid w:val="004E76E2"/>
    <w:rsid w:val="004F52AC"/>
    <w:rsid w:val="004F5858"/>
    <w:rsid w:val="005024F6"/>
    <w:rsid w:val="00507980"/>
    <w:rsid w:val="00513529"/>
    <w:rsid w:val="00517B48"/>
    <w:rsid w:val="005210E8"/>
    <w:rsid w:val="005231CB"/>
    <w:rsid w:val="005337DA"/>
    <w:rsid w:val="00536B78"/>
    <w:rsid w:val="00543283"/>
    <w:rsid w:val="00544E1A"/>
    <w:rsid w:val="00545C0C"/>
    <w:rsid w:val="00554EF3"/>
    <w:rsid w:val="00560AC7"/>
    <w:rsid w:val="005621EC"/>
    <w:rsid w:val="005623B8"/>
    <w:rsid w:val="0056429F"/>
    <w:rsid w:val="00573666"/>
    <w:rsid w:val="00574443"/>
    <w:rsid w:val="005A3945"/>
    <w:rsid w:val="005A39D2"/>
    <w:rsid w:val="005A7DCD"/>
    <w:rsid w:val="005C40AC"/>
    <w:rsid w:val="005C5CA0"/>
    <w:rsid w:val="005D3B1A"/>
    <w:rsid w:val="005D763B"/>
    <w:rsid w:val="005F25D1"/>
    <w:rsid w:val="005F45BC"/>
    <w:rsid w:val="005F5169"/>
    <w:rsid w:val="006110B8"/>
    <w:rsid w:val="006113C0"/>
    <w:rsid w:val="00614BD7"/>
    <w:rsid w:val="00622B7B"/>
    <w:rsid w:val="0062563D"/>
    <w:rsid w:val="006364AA"/>
    <w:rsid w:val="006638EF"/>
    <w:rsid w:val="00663F6A"/>
    <w:rsid w:val="0067592F"/>
    <w:rsid w:val="006959BF"/>
    <w:rsid w:val="006A5030"/>
    <w:rsid w:val="006A6A6C"/>
    <w:rsid w:val="006A6ECE"/>
    <w:rsid w:val="006A7329"/>
    <w:rsid w:val="006C018E"/>
    <w:rsid w:val="006C6544"/>
    <w:rsid w:val="00702B6B"/>
    <w:rsid w:val="00702D0D"/>
    <w:rsid w:val="007101C7"/>
    <w:rsid w:val="00711F17"/>
    <w:rsid w:val="007124AC"/>
    <w:rsid w:val="00714ED3"/>
    <w:rsid w:val="0072012C"/>
    <w:rsid w:val="007274F4"/>
    <w:rsid w:val="00740715"/>
    <w:rsid w:val="00743C72"/>
    <w:rsid w:val="007646C8"/>
    <w:rsid w:val="00765F6E"/>
    <w:rsid w:val="0077110C"/>
    <w:rsid w:val="00792F41"/>
    <w:rsid w:val="00794285"/>
    <w:rsid w:val="00796706"/>
    <w:rsid w:val="00797C18"/>
    <w:rsid w:val="007A1387"/>
    <w:rsid w:val="007A50C4"/>
    <w:rsid w:val="007A5420"/>
    <w:rsid w:val="007A7543"/>
    <w:rsid w:val="007B35C5"/>
    <w:rsid w:val="007B5271"/>
    <w:rsid w:val="007B5700"/>
    <w:rsid w:val="007B5E75"/>
    <w:rsid w:val="007C17A2"/>
    <w:rsid w:val="007C7D5E"/>
    <w:rsid w:val="007D1F28"/>
    <w:rsid w:val="007E05E6"/>
    <w:rsid w:val="007E3E17"/>
    <w:rsid w:val="007F0E96"/>
    <w:rsid w:val="007F7376"/>
    <w:rsid w:val="0080505F"/>
    <w:rsid w:val="00811D9E"/>
    <w:rsid w:val="00832B7A"/>
    <w:rsid w:val="0083431A"/>
    <w:rsid w:val="00841F60"/>
    <w:rsid w:val="00844B59"/>
    <w:rsid w:val="00847D20"/>
    <w:rsid w:val="00856742"/>
    <w:rsid w:val="00857D97"/>
    <w:rsid w:val="00863950"/>
    <w:rsid w:val="008721B4"/>
    <w:rsid w:val="008856B4"/>
    <w:rsid w:val="008916DC"/>
    <w:rsid w:val="0089478B"/>
    <w:rsid w:val="008A07B8"/>
    <w:rsid w:val="008A52E9"/>
    <w:rsid w:val="008A7642"/>
    <w:rsid w:val="008C2DC4"/>
    <w:rsid w:val="008C52AF"/>
    <w:rsid w:val="008C5DA7"/>
    <w:rsid w:val="008C64F8"/>
    <w:rsid w:val="008D0B34"/>
    <w:rsid w:val="008E408A"/>
    <w:rsid w:val="008F2711"/>
    <w:rsid w:val="00914AC8"/>
    <w:rsid w:val="009234FE"/>
    <w:rsid w:val="00923E5E"/>
    <w:rsid w:val="009315E8"/>
    <w:rsid w:val="00933945"/>
    <w:rsid w:val="00945ED4"/>
    <w:rsid w:val="009475E3"/>
    <w:rsid w:val="00954FC1"/>
    <w:rsid w:val="00965FF0"/>
    <w:rsid w:val="0097600D"/>
    <w:rsid w:val="00976BE5"/>
    <w:rsid w:val="00977128"/>
    <w:rsid w:val="00983EC0"/>
    <w:rsid w:val="00984B5F"/>
    <w:rsid w:val="00985814"/>
    <w:rsid w:val="009873C4"/>
    <w:rsid w:val="00987F78"/>
    <w:rsid w:val="009A67AB"/>
    <w:rsid w:val="009A795B"/>
    <w:rsid w:val="009B0315"/>
    <w:rsid w:val="009B2836"/>
    <w:rsid w:val="009D17DE"/>
    <w:rsid w:val="009D1DB5"/>
    <w:rsid w:val="009D2462"/>
    <w:rsid w:val="009D5B52"/>
    <w:rsid w:val="009F0219"/>
    <w:rsid w:val="009F0DEA"/>
    <w:rsid w:val="009F5A9B"/>
    <w:rsid w:val="009F7951"/>
    <w:rsid w:val="009F7F41"/>
    <w:rsid w:val="00A00140"/>
    <w:rsid w:val="00A00C32"/>
    <w:rsid w:val="00A075F8"/>
    <w:rsid w:val="00A13C2F"/>
    <w:rsid w:val="00A17D5B"/>
    <w:rsid w:val="00A205CD"/>
    <w:rsid w:val="00A2570F"/>
    <w:rsid w:val="00A2793E"/>
    <w:rsid w:val="00A27EAA"/>
    <w:rsid w:val="00A3191D"/>
    <w:rsid w:val="00A34506"/>
    <w:rsid w:val="00A4102C"/>
    <w:rsid w:val="00A458F8"/>
    <w:rsid w:val="00A50EFB"/>
    <w:rsid w:val="00A548A2"/>
    <w:rsid w:val="00A54FAA"/>
    <w:rsid w:val="00A97ED1"/>
    <w:rsid w:val="00AA5685"/>
    <w:rsid w:val="00AA5BCE"/>
    <w:rsid w:val="00AA69E0"/>
    <w:rsid w:val="00AD1270"/>
    <w:rsid w:val="00AD2B0A"/>
    <w:rsid w:val="00AD7DAF"/>
    <w:rsid w:val="00AE098B"/>
    <w:rsid w:val="00AF1675"/>
    <w:rsid w:val="00AF7F9C"/>
    <w:rsid w:val="00B12872"/>
    <w:rsid w:val="00B13C1E"/>
    <w:rsid w:val="00B15921"/>
    <w:rsid w:val="00B220A6"/>
    <w:rsid w:val="00B24A72"/>
    <w:rsid w:val="00B263FB"/>
    <w:rsid w:val="00B410D6"/>
    <w:rsid w:val="00B4642F"/>
    <w:rsid w:val="00B52563"/>
    <w:rsid w:val="00B90DAE"/>
    <w:rsid w:val="00B964B8"/>
    <w:rsid w:val="00BB62AF"/>
    <w:rsid w:val="00BC1D92"/>
    <w:rsid w:val="00BC3A0D"/>
    <w:rsid w:val="00BC4076"/>
    <w:rsid w:val="00BC7508"/>
    <w:rsid w:val="00BD31B8"/>
    <w:rsid w:val="00BE70E3"/>
    <w:rsid w:val="00BF1584"/>
    <w:rsid w:val="00BF1E39"/>
    <w:rsid w:val="00BF4AC4"/>
    <w:rsid w:val="00C26D96"/>
    <w:rsid w:val="00C31D5B"/>
    <w:rsid w:val="00C32E5E"/>
    <w:rsid w:val="00C33251"/>
    <w:rsid w:val="00C35746"/>
    <w:rsid w:val="00C42946"/>
    <w:rsid w:val="00C4551E"/>
    <w:rsid w:val="00C560C5"/>
    <w:rsid w:val="00C63B93"/>
    <w:rsid w:val="00C7314D"/>
    <w:rsid w:val="00C8729B"/>
    <w:rsid w:val="00C908E4"/>
    <w:rsid w:val="00C97A49"/>
    <w:rsid w:val="00CC11EC"/>
    <w:rsid w:val="00CC2DAF"/>
    <w:rsid w:val="00CD5FF3"/>
    <w:rsid w:val="00CF72BB"/>
    <w:rsid w:val="00CF7B43"/>
    <w:rsid w:val="00D01CEA"/>
    <w:rsid w:val="00D040C6"/>
    <w:rsid w:val="00D232EB"/>
    <w:rsid w:val="00D45FAC"/>
    <w:rsid w:val="00D66CE4"/>
    <w:rsid w:val="00D67076"/>
    <w:rsid w:val="00D71CCD"/>
    <w:rsid w:val="00D72A89"/>
    <w:rsid w:val="00D806C0"/>
    <w:rsid w:val="00D81711"/>
    <w:rsid w:val="00D85DD2"/>
    <w:rsid w:val="00D87E51"/>
    <w:rsid w:val="00D93CFD"/>
    <w:rsid w:val="00D97221"/>
    <w:rsid w:val="00DC05A9"/>
    <w:rsid w:val="00DC606F"/>
    <w:rsid w:val="00DD194C"/>
    <w:rsid w:val="00DD1B35"/>
    <w:rsid w:val="00DD2376"/>
    <w:rsid w:val="00DD314E"/>
    <w:rsid w:val="00DD79FB"/>
    <w:rsid w:val="00DF6535"/>
    <w:rsid w:val="00E01204"/>
    <w:rsid w:val="00E026C3"/>
    <w:rsid w:val="00E11553"/>
    <w:rsid w:val="00E14EEB"/>
    <w:rsid w:val="00E16762"/>
    <w:rsid w:val="00E20831"/>
    <w:rsid w:val="00E22BD0"/>
    <w:rsid w:val="00E431A8"/>
    <w:rsid w:val="00E54CEC"/>
    <w:rsid w:val="00E6023B"/>
    <w:rsid w:val="00E6054B"/>
    <w:rsid w:val="00E6120E"/>
    <w:rsid w:val="00E62CA7"/>
    <w:rsid w:val="00E70C80"/>
    <w:rsid w:val="00E73796"/>
    <w:rsid w:val="00E8091A"/>
    <w:rsid w:val="00E81860"/>
    <w:rsid w:val="00E81A12"/>
    <w:rsid w:val="00E841E1"/>
    <w:rsid w:val="00E94FF2"/>
    <w:rsid w:val="00E97501"/>
    <w:rsid w:val="00EB4372"/>
    <w:rsid w:val="00EC17C1"/>
    <w:rsid w:val="00EC21FF"/>
    <w:rsid w:val="00EC7D2F"/>
    <w:rsid w:val="00ED5195"/>
    <w:rsid w:val="00ED72BB"/>
    <w:rsid w:val="00EF0917"/>
    <w:rsid w:val="00EF09EA"/>
    <w:rsid w:val="00EF42B9"/>
    <w:rsid w:val="00F0075C"/>
    <w:rsid w:val="00F05701"/>
    <w:rsid w:val="00F05D04"/>
    <w:rsid w:val="00F12ADF"/>
    <w:rsid w:val="00F405AA"/>
    <w:rsid w:val="00F430C1"/>
    <w:rsid w:val="00F61DD3"/>
    <w:rsid w:val="00F626D8"/>
    <w:rsid w:val="00F666BC"/>
    <w:rsid w:val="00F7414A"/>
    <w:rsid w:val="00F829C4"/>
    <w:rsid w:val="00F854BA"/>
    <w:rsid w:val="00F94A63"/>
    <w:rsid w:val="00F957DF"/>
    <w:rsid w:val="00FA14C2"/>
    <w:rsid w:val="00FA7BF0"/>
    <w:rsid w:val="00FC23AF"/>
    <w:rsid w:val="00FC2CF6"/>
    <w:rsid w:val="00FC47F5"/>
    <w:rsid w:val="00FE1A8D"/>
    <w:rsid w:val="00FF3BD5"/>
    <w:rsid w:val="00FF46E1"/>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FCBDE"/>
  <w15:docId w15:val="{2667C24E-FD1D-40FE-B3FC-A689F01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a-DK"/>
    </w:rPr>
  </w:style>
  <w:style w:type="paragraph" w:styleId="Heading1">
    <w:name w:val="heading 1"/>
    <w:basedOn w:val="Normal"/>
    <w:next w:val="Normal"/>
    <w:qFormat/>
    <w:pPr>
      <w:keepNext/>
      <w:numPr>
        <w:numId w:val="1"/>
      </w:numPr>
      <w:spacing w:line="360" w:lineRule="auto"/>
      <w:jc w:val="both"/>
      <w:outlineLvl w:val="0"/>
    </w:pPr>
    <w:rPr>
      <w:rFonts w:ascii="Arial" w:hAnsi="Arial" w:cs="Arial"/>
      <w:b/>
      <w:spacing w:val="6"/>
      <w:sz w:val="18"/>
      <w:szCs w:val="20"/>
      <w:lang w:val="da-DK"/>
    </w:rPr>
  </w:style>
  <w:style w:type="paragraph" w:styleId="Heading2">
    <w:name w:val="heading 2"/>
    <w:basedOn w:val="Normal"/>
    <w:next w:val="Normal"/>
    <w:qFormat/>
    <w:pPr>
      <w:keepNext/>
      <w:numPr>
        <w:ilvl w:val="1"/>
        <w:numId w:val="1"/>
      </w:numPr>
      <w:spacing w:line="360" w:lineRule="auto"/>
      <w:jc w:val="both"/>
      <w:outlineLvl w:val="1"/>
    </w:pPr>
    <w:rPr>
      <w:rFonts w:ascii="Arial" w:hAnsi="Arial" w:cs="Arial"/>
      <w:spacing w:val="6"/>
      <w:sz w:val="18"/>
      <w:szCs w:val="20"/>
    </w:rPr>
  </w:style>
  <w:style w:type="paragraph" w:styleId="Heading3">
    <w:name w:val="heading 3"/>
    <w:basedOn w:val="Normal"/>
    <w:next w:val="Normal"/>
    <w:qFormat/>
    <w:pPr>
      <w:keepNext/>
      <w:numPr>
        <w:ilvl w:val="2"/>
        <w:numId w:val="1"/>
      </w:numPr>
      <w:spacing w:line="360" w:lineRule="auto"/>
      <w:jc w:val="center"/>
      <w:outlineLvl w:val="2"/>
    </w:pPr>
    <w:rPr>
      <w:rFonts w:ascii="Arial" w:hAnsi="Arial"/>
      <w:b/>
      <w:bCs/>
      <w:spacing w:val="6"/>
      <w:szCs w:val="20"/>
    </w:rPr>
  </w:style>
  <w:style w:type="paragraph" w:styleId="Heading4">
    <w:name w:val="heading 4"/>
    <w:basedOn w:val="Normal"/>
    <w:next w:val="Normal"/>
    <w:qFormat/>
    <w:pPr>
      <w:keepNext/>
      <w:numPr>
        <w:ilvl w:val="3"/>
        <w:numId w:val="1"/>
      </w:numPr>
      <w:spacing w:line="360" w:lineRule="auto"/>
      <w:jc w:val="both"/>
      <w:outlineLvl w:val="3"/>
    </w:pPr>
    <w:rPr>
      <w:rFonts w:ascii="Arial" w:hAnsi="Arial"/>
      <w:b/>
      <w:bCs/>
      <w:spacing w:val="6"/>
      <w:szCs w:val="20"/>
    </w:rPr>
  </w:style>
  <w:style w:type="paragraph" w:styleId="Heading5">
    <w:name w:val="heading 5"/>
    <w:basedOn w:val="Normal"/>
    <w:next w:val="Normal"/>
    <w:qFormat/>
    <w:pPr>
      <w:numPr>
        <w:ilvl w:val="4"/>
        <w:numId w:val="1"/>
      </w:numPr>
      <w:spacing w:before="240" w:after="60" w:line="360" w:lineRule="auto"/>
      <w:outlineLvl w:val="4"/>
    </w:pPr>
    <w:rPr>
      <w:rFonts w:ascii="Arial" w:hAnsi="Arial"/>
      <w:b/>
      <w:bCs/>
      <w:i/>
      <w:iCs/>
      <w:spacing w:val="6"/>
      <w:sz w:val="26"/>
      <w:szCs w:val="26"/>
      <w:lang w:val="da-DK"/>
    </w:rPr>
  </w:style>
  <w:style w:type="paragraph" w:styleId="Heading6">
    <w:name w:val="heading 6"/>
    <w:basedOn w:val="Normal"/>
    <w:next w:val="Normal"/>
    <w:qFormat/>
    <w:pPr>
      <w:numPr>
        <w:ilvl w:val="5"/>
        <w:numId w:val="1"/>
      </w:numPr>
      <w:spacing w:before="240" w:after="60" w:line="360" w:lineRule="auto"/>
      <w:outlineLvl w:val="5"/>
    </w:pPr>
    <w:rPr>
      <w:rFonts w:ascii="Arial" w:hAnsi="Arial"/>
      <w:b/>
      <w:bCs/>
      <w:spacing w:val="6"/>
      <w:sz w:val="22"/>
      <w:szCs w:val="22"/>
      <w:lang w:val="da-DK"/>
    </w:rPr>
  </w:style>
  <w:style w:type="paragraph" w:styleId="Heading7">
    <w:name w:val="heading 7"/>
    <w:basedOn w:val="Normal"/>
    <w:next w:val="Normal"/>
    <w:qFormat/>
    <w:pPr>
      <w:numPr>
        <w:ilvl w:val="6"/>
        <w:numId w:val="1"/>
      </w:numPr>
      <w:spacing w:before="240" w:after="60" w:line="360" w:lineRule="auto"/>
      <w:outlineLvl w:val="6"/>
    </w:pPr>
    <w:rPr>
      <w:rFonts w:ascii="Arial" w:hAnsi="Arial"/>
      <w:spacing w:val="6"/>
      <w:lang w:val="da-DK"/>
    </w:rPr>
  </w:style>
  <w:style w:type="paragraph" w:styleId="Heading8">
    <w:name w:val="heading 8"/>
    <w:basedOn w:val="Normal"/>
    <w:next w:val="Normal"/>
    <w:qFormat/>
    <w:pPr>
      <w:numPr>
        <w:ilvl w:val="7"/>
        <w:numId w:val="1"/>
      </w:numPr>
      <w:spacing w:before="240" w:after="60" w:line="360" w:lineRule="auto"/>
      <w:outlineLvl w:val="7"/>
    </w:pPr>
    <w:rPr>
      <w:rFonts w:ascii="Arial" w:hAnsi="Arial"/>
      <w:i/>
      <w:iCs/>
      <w:spacing w:val="6"/>
      <w:lang w:val="da-DK"/>
    </w:rPr>
  </w:style>
  <w:style w:type="paragraph" w:styleId="Heading9">
    <w:name w:val="heading 9"/>
    <w:basedOn w:val="Normal"/>
    <w:next w:val="Normal"/>
    <w:qFormat/>
    <w:pPr>
      <w:numPr>
        <w:ilvl w:val="8"/>
        <w:numId w:val="1"/>
      </w:numPr>
      <w:spacing w:before="240" w:after="60" w:line="360" w:lineRule="auto"/>
      <w:outlineLvl w:val="8"/>
    </w:pPr>
    <w:rPr>
      <w:rFonts w:ascii="Arial" w:hAnsi="Arial" w:cs="Arial"/>
      <w:spacing w:val="6"/>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60"/>
    </w:pPr>
    <w:rPr>
      <w:szCs w:val="20"/>
      <w:lang w:val="en-US" w:eastAsia="en-US"/>
    </w:rPr>
  </w:style>
  <w:style w:type="paragraph" w:customStyle="1" w:styleId="SignatureName">
    <w:name w:val="Signature Name"/>
    <w:basedOn w:val="Signature"/>
    <w:next w:val="Normal"/>
    <w:pPr>
      <w:keepNext/>
      <w:spacing w:before="720"/>
      <w:ind w:left="0"/>
    </w:pPr>
    <w:rPr>
      <w:szCs w:val="20"/>
      <w:lang w:val="en-US" w:eastAsia="en-US"/>
    </w:rPr>
  </w:style>
  <w:style w:type="paragraph" w:styleId="Signature">
    <w:name w:val="Signature"/>
    <w:basedOn w:val="Normal"/>
    <w:pPr>
      <w:ind w:left="4320"/>
    </w:pPr>
  </w:style>
  <w:style w:type="paragraph" w:styleId="Title">
    <w:name w:val="Title"/>
    <w:basedOn w:val="Normal"/>
    <w:qFormat/>
    <w:pPr>
      <w:spacing w:line="360" w:lineRule="auto"/>
      <w:jc w:val="center"/>
    </w:pPr>
    <w:rPr>
      <w:rFonts w:ascii="Arial" w:hAnsi="Arial"/>
      <w:b/>
      <w:bCs/>
      <w:spacing w:val="6"/>
      <w:szCs w:val="20"/>
      <w:lang w:val="da-DK"/>
    </w:rPr>
  </w:style>
  <w:style w:type="paragraph" w:styleId="Header">
    <w:name w:val="header"/>
    <w:basedOn w:val="Normal"/>
    <w:pPr>
      <w:tabs>
        <w:tab w:val="center" w:pos="4819"/>
        <w:tab w:val="right" w:pos="9638"/>
      </w:tabs>
      <w:spacing w:line="360" w:lineRule="auto"/>
    </w:pPr>
    <w:rPr>
      <w:rFonts w:ascii="Arial" w:hAnsi="Arial"/>
      <w:spacing w:val="6"/>
      <w:sz w:val="18"/>
      <w:szCs w:val="20"/>
      <w:lang w:val="da-DK"/>
    </w:rPr>
  </w:style>
  <w:style w:type="paragraph" w:styleId="BalloonText">
    <w:name w:val="Balloon Text"/>
    <w:basedOn w:val="Normal"/>
    <w:semiHidden/>
    <w:rsid w:val="0010498B"/>
    <w:rPr>
      <w:rFonts w:ascii="Tahoma" w:hAnsi="Tahoma" w:cs="Tahoma"/>
      <w:sz w:val="16"/>
      <w:szCs w:val="16"/>
    </w:rPr>
  </w:style>
  <w:style w:type="table" w:styleId="TableGrid">
    <w:name w:val="Table Grid"/>
    <w:basedOn w:val="TableNormal"/>
    <w:rsid w:val="0057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2AA"/>
    <w:pPr>
      <w:ind w:left="720"/>
      <w:contextualSpacing/>
    </w:pPr>
  </w:style>
  <w:style w:type="paragraph" w:styleId="FootnoteText">
    <w:name w:val="footnote text"/>
    <w:basedOn w:val="Normal"/>
    <w:link w:val="FootnoteTextChar"/>
    <w:rsid w:val="005C40AC"/>
    <w:rPr>
      <w:sz w:val="20"/>
      <w:szCs w:val="20"/>
    </w:rPr>
  </w:style>
  <w:style w:type="character" w:customStyle="1" w:styleId="FootnoteTextChar">
    <w:name w:val="Footnote Text Char"/>
    <w:basedOn w:val="DefaultParagraphFont"/>
    <w:link w:val="FootnoteText"/>
    <w:rsid w:val="005C40AC"/>
    <w:rPr>
      <w:lang w:val="en-GB" w:eastAsia="da-DK"/>
    </w:rPr>
  </w:style>
  <w:style w:type="character" w:styleId="FootnoteReference">
    <w:name w:val="footnote reference"/>
    <w:basedOn w:val="DefaultParagraphFont"/>
    <w:rsid w:val="005C40AC"/>
    <w:rPr>
      <w:vertAlign w:val="superscript"/>
    </w:rPr>
  </w:style>
  <w:style w:type="character" w:styleId="CommentReference">
    <w:name w:val="annotation reference"/>
    <w:basedOn w:val="DefaultParagraphFont"/>
    <w:uiPriority w:val="99"/>
    <w:rsid w:val="00003AC9"/>
    <w:rPr>
      <w:sz w:val="16"/>
      <w:szCs w:val="16"/>
    </w:rPr>
  </w:style>
  <w:style w:type="paragraph" w:styleId="CommentText">
    <w:name w:val="annotation text"/>
    <w:basedOn w:val="Normal"/>
    <w:link w:val="CommentTextChar"/>
    <w:uiPriority w:val="99"/>
    <w:rsid w:val="00003AC9"/>
    <w:rPr>
      <w:sz w:val="20"/>
      <w:szCs w:val="20"/>
    </w:rPr>
  </w:style>
  <w:style w:type="character" w:customStyle="1" w:styleId="CommentTextChar">
    <w:name w:val="Comment Text Char"/>
    <w:basedOn w:val="DefaultParagraphFont"/>
    <w:link w:val="CommentText"/>
    <w:uiPriority w:val="99"/>
    <w:rsid w:val="00003AC9"/>
    <w:rPr>
      <w:lang w:val="en-GB" w:eastAsia="da-DK"/>
    </w:rPr>
  </w:style>
  <w:style w:type="paragraph" w:styleId="CommentSubject">
    <w:name w:val="annotation subject"/>
    <w:basedOn w:val="CommentText"/>
    <w:next w:val="CommentText"/>
    <w:link w:val="CommentSubjectChar"/>
    <w:rsid w:val="00003AC9"/>
    <w:rPr>
      <w:b/>
      <w:bCs/>
    </w:rPr>
  </w:style>
  <w:style w:type="character" w:customStyle="1" w:styleId="CommentSubjectChar">
    <w:name w:val="Comment Subject Char"/>
    <w:basedOn w:val="CommentTextChar"/>
    <w:link w:val="CommentSubject"/>
    <w:rsid w:val="00003AC9"/>
    <w:rPr>
      <w:b/>
      <w:bCs/>
      <w:lang w:val="en-GB" w:eastAsia="da-DK"/>
    </w:rPr>
  </w:style>
  <w:style w:type="paragraph" w:styleId="ListBullet">
    <w:name w:val="List Bullet"/>
    <w:basedOn w:val="Normal"/>
    <w:rsid w:val="00156286"/>
    <w:pPr>
      <w:numPr>
        <w:numId w:val="12"/>
      </w:numPr>
      <w:contextualSpacing/>
    </w:pPr>
  </w:style>
  <w:style w:type="paragraph" w:styleId="Revision">
    <w:name w:val="Revision"/>
    <w:hidden/>
    <w:uiPriority w:val="99"/>
    <w:semiHidden/>
    <w:rsid w:val="00355975"/>
    <w:rPr>
      <w:sz w:val="24"/>
      <w:szCs w:val="24"/>
      <w:lang w:val="en-GB" w:eastAsia="da-DK"/>
    </w:rPr>
  </w:style>
  <w:style w:type="paragraph" w:styleId="ListNumber">
    <w:name w:val="List Number"/>
    <w:basedOn w:val="Normal"/>
    <w:rsid w:val="00355975"/>
    <w:pPr>
      <w:numPr>
        <w:numId w:val="14"/>
      </w:numPr>
      <w:contextualSpacing/>
    </w:pPr>
  </w:style>
  <w:style w:type="character" w:styleId="Hyperlink">
    <w:name w:val="Hyperlink"/>
    <w:basedOn w:val="DefaultParagraphFont"/>
    <w:unhideWhenUsed/>
    <w:rsid w:val="009315E8"/>
    <w:rPr>
      <w:color w:val="0000FF" w:themeColor="hyperlink"/>
      <w:u w:val="single"/>
    </w:rPr>
  </w:style>
  <w:style w:type="paragraph" w:customStyle="1" w:styleId="Default">
    <w:name w:val="Default"/>
    <w:rsid w:val="00145412"/>
    <w:pPr>
      <w:autoSpaceDE w:val="0"/>
      <w:autoSpaceDN w:val="0"/>
      <w:adjustRightInd w:val="0"/>
    </w:pPr>
    <w:rPr>
      <w:rFonts w:ascii="JKNBOJ+TimesNewRoman" w:eastAsia="Calibri" w:hAnsi="JKNBOJ+TimesNewRoman" w:cs="JKNBOJ+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055">
      <w:bodyDiv w:val="1"/>
      <w:marLeft w:val="0"/>
      <w:marRight w:val="0"/>
      <w:marTop w:val="0"/>
      <w:marBottom w:val="0"/>
      <w:divBdr>
        <w:top w:val="none" w:sz="0" w:space="0" w:color="auto"/>
        <w:left w:val="none" w:sz="0" w:space="0" w:color="auto"/>
        <w:bottom w:val="none" w:sz="0" w:space="0" w:color="auto"/>
        <w:right w:val="none" w:sz="0" w:space="0" w:color="auto"/>
      </w:divBdr>
    </w:div>
    <w:div w:id="127548558">
      <w:bodyDiv w:val="1"/>
      <w:marLeft w:val="0"/>
      <w:marRight w:val="0"/>
      <w:marTop w:val="0"/>
      <w:marBottom w:val="0"/>
      <w:divBdr>
        <w:top w:val="none" w:sz="0" w:space="0" w:color="auto"/>
        <w:left w:val="none" w:sz="0" w:space="0" w:color="auto"/>
        <w:bottom w:val="none" w:sz="0" w:space="0" w:color="auto"/>
        <w:right w:val="none" w:sz="0" w:space="0" w:color="auto"/>
      </w:divBdr>
    </w:div>
    <w:div w:id="141777255">
      <w:bodyDiv w:val="1"/>
      <w:marLeft w:val="0"/>
      <w:marRight w:val="0"/>
      <w:marTop w:val="0"/>
      <w:marBottom w:val="0"/>
      <w:divBdr>
        <w:top w:val="none" w:sz="0" w:space="0" w:color="auto"/>
        <w:left w:val="none" w:sz="0" w:space="0" w:color="auto"/>
        <w:bottom w:val="none" w:sz="0" w:space="0" w:color="auto"/>
        <w:right w:val="none" w:sz="0" w:space="0" w:color="auto"/>
      </w:divBdr>
    </w:div>
    <w:div w:id="579870546">
      <w:bodyDiv w:val="1"/>
      <w:marLeft w:val="0"/>
      <w:marRight w:val="0"/>
      <w:marTop w:val="0"/>
      <w:marBottom w:val="0"/>
      <w:divBdr>
        <w:top w:val="none" w:sz="0" w:space="0" w:color="auto"/>
        <w:left w:val="none" w:sz="0" w:space="0" w:color="auto"/>
        <w:bottom w:val="none" w:sz="0" w:space="0" w:color="auto"/>
        <w:right w:val="none" w:sz="0" w:space="0" w:color="auto"/>
      </w:divBdr>
    </w:div>
    <w:div w:id="15950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r\Documents\TNA%20project%20phase%20II\RCs%20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AFC0A612D92C479F6531BF13702818" ma:contentTypeVersion="4" ma:contentTypeDescription="Opret et nyt dokument." ma:contentTypeScope="" ma:versionID="5885df2814ca2048633be086fbbd2f3d">
  <xsd:schema xmlns:xsd="http://www.w3.org/2001/XMLSchema" xmlns:xs="http://www.w3.org/2001/XMLSchema" xmlns:p="http://schemas.microsoft.com/office/2006/metadata/properties" xmlns:ns3="ff00c7eb-1091-42a3-8284-b32686795245" targetNamespace="http://schemas.microsoft.com/office/2006/metadata/properties" ma:root="true" ma:fieldsID="2380b714678a01e4a85555f1c0989de0" ns3:_="">
    <xsd:import namespace="ff00c7eb-1091-42a3-8284-b326867952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0c7eb-1091-42a3-8284-b32686795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8658-510B-40CA-B17A-1DC4A5AC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0c7eb-1091-42a3-8284-b32686795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AF97-B237-4D8C-88EB-C1B93C24C514}">
  <ds:schemaRefs>
    <ds:schemaRef ds:uri="http://schemas.microsoft.com/sharepoint/v3/contenttype/forms"/>
  </ds:schemaRefs>
</ds:datastoreItem>
</file>

<file path=customXml/itemProps3.xml><?xml version="1.0" encoding="utf-8"?>
<ds:datastoreItem xmlns:ds="http://schemas.openxmlformats.org/officeDocument/2006/customXml" ds:itemID="{EEF1EF6E-24BC-4910-B5B3-DF257E1E9C4F}">
  <ds:schemaRefs>
    <ds:schemaRef ds:uri="http://schemas.microsoft.com/office/2006/metadata/properties"/>
  </ds:schemaRefs>
</ds:datastoreItem>
</file>

<file path=customXml/itemProps4.xml><?xml version="1.0" encoding="utf-8"?>
<ds:datastoreItem xmlns:ds="http://schemas.openxmlformats.org/officeDocument/2006/customXml" ds:itemID="{744A06D0-A67C-4D32-BE21-C67EEADB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 Contract template</Template>
  <TotalTime>65</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Risø National Laboratory</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Rogat</dc:creator>
  <cp:lastModifiedBy>James A Haselip</cp:lastModifiedBy>
  <cp:revision>10</cp:revision>
  <cp:lastPrinted>2014-10-28T17:11:00Z</cp:lastPrinted>
  <dcterms:created xsi:type="dcterms:W3CDTF">2021-09-07T09:32:00Z</dcterms:created>
  <dcterms:modified xsi:type="dcterms:W3CDTF">2021-09-15T19:44:00Z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0x01010032AFC0A612D92C479F6531BF13702818</vt:lpwstr>
  </property>
</Properties>
</file>