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42557" w14:textId="25AB7D64" w:rsidR="00C90C73" w:rsidRPr="00925B91" w:rsidRDefault="00D57F7A" w:rsidP="00A85C56">
      <w:pPr>
        <w:pStyle w:val="Heading1"/>
        <w:spacing w:after="120"/>
        <w:jc w:val="center"/>
        <w:rPr>
          <w:rFonts w:asciiTheme="minorHAnsi" w:eastAsia="MS Mincho" w:hAnsiTheme="minorHAnsi" w:cstheme="minorHAnsi"/>
          <w:sz w:val="28"/>
          <w:szCs w:val="28"/>
          <w:lang w:val="en-US"/>
        </w:rPr>
      </w:pPr>
      <w:r w:rsidRPr="00925B91">
        <w:rPr>
          <w:rFonts w:asciiTheme="minorHAnsi" w:hAnsiTheme="minorHAnsi" w:cstheme="minorHAnsi"/>
          <w:sz w:val="28"/>
          <w:szCs w:val="28"/>
          <w:lang w:val="en-US"/>
        </w:rPr>
        <w:t>I</w:t>
      </w:r>
      <w:r w:rsidR="00D81504" w:rsidRPr="00925B91">
        <w:rPr>
          <w:rFonts w:asciiTheme="minorHAnsi" w:hAnsiTheme="minorHAnsi" w:cstheme="minorHAnsi"/>
          <w:sz w:val="28"/>
          <w:szCs w:val="28"/>
          <w:lang w:val="en-US"/>
        </w:rPr>
        <w:t>nitiative for Clima</w:t>
      </w:r>
      <w:r w:rsidR="00BA6187" w:rsidRPr="00925B91">
        <w:rPr>
          <w:rFonts w:asciiTheme="minorHAnsi" w:hAnsiTheme="minorHAnsi" w:cstheme="minorHAnsi"/>
          <w:sz w:val="28"/>
          <w:szCs w:val="28"/>
          <w:lang w:val="en-US"/>
        </w:rPr>
        <w:t>te Action Transparency Mexico</w:t>
      </w:r>
    </w:p>
    <w:p w14:paraId="44B3D278" w14:textId="33E93104" w:rsidR="00D57F7A" w:rsidRPr="00925B91" w:rsidRDefault="00D57F7A" w:rsidP="00A85C56">
      <w:pPr>
        <w:pStyle w:val="Heading2"/>
        <w:spacing w:after="120"/>
        <w:jc w:val="center"/>
        <w:rPr>
          <w:rFonts w:asciiTheme="minorHAnsi" w:eastAsia="MS Mincho" w:hAnsiTheme="minorHAnsi" w:cstheme="minorHAnsi"/>
          <w:b/>
          <w:sz w:val="22"/>
          <w:szCs w:val="22"/>
          <w:lang w:val="en-US"/>
        </w:rPr>
      </w:pPr>
      <w:r w:rsidRPr="00925B91">
        <w:rPr>
          <w:rFonts w:asciiTheme="minorHAnsi" w:hAnsiTheme="minorHAnsi" w:cstheme="minorHAnsi"/>
          <w:b/>
          <w:sz w:val="28"/>
          <w:szCs w:val="28"/>
          <w:lang w:val="en-US"/>
        </w:rPr>
        <w:t xml:space="preserve">Terms of Reference for </w:t>
      </w:r>
      <w:r w:rsidRPr="00925B91">
        <w:rPr>
          <w:rFonts w:asciiTheme="minorHAnsi" w:eastAsia="MS Mincho" w:hAnsiTheme="minorHAnsi" w:cstheme="minorHAnsi"/>
          <w:b/>
          <w:sz w:val="28"/>
          <w:szCs w:val="28"/>
          <w:lang w:val="en-US"/>
        </w:rPr>
        <w:t>short-term consultancy</w:t>
      </w:r>
      <w:r w:rsidR="00A23BA6" w:rsidRPr="00925B91">
        <w:rPr>
          <w:rFonts w:asciiTheme="minorHAnsi" w:eastAsia="MS Mincho" w:hAnsiTheme="minorHAnsi" w:cstheme="minorHAnsi"/>
          <w:b/>
          <w:sz w:val="28"/>
          <w:szCs w:val="28"/>
          <w:lang w:val="en-US"/>
        </w:rPr>
        <w:t>. Analyst</w:t>
      </w:r>
      <w:r w:rsidRPr="00925B91">
        <w:rPr>
          <w:rFonts w:asciiTheme="minorHAnsi" w:eastAsia="MS Mincho" w:hAnsiTheme="minorHAnsi" w:cstheme="minorHAnsi"/>
          <w:b/>
          <w:sz w:val="28"/>
          <w:szCs w:val="28"/>
          <w:lang w:val="en-US"/>
        </w:rPr>
        <w:t xml:space="preserve"> </w:t>
      </w:r>
      <w:r w:rsidR="007125FA" w:rsidRPr="00925B91">
        <w:rPr>
          <w:rFonts w:asciiTheme="minorHAnsi" w:eastAsia="MS Mincho" w:hAnsiTheme="minorHAnsi" w:cstheme="minorHAnsi"/>
          <w:b/>
          <w:sz w:val="28"/>
          <w:szCs w:val="28"/>
          <w:lang w:val="en-US"/>
        </w:rPr>
        <w:t>(junior</w:t>
      </w:r>
      <w:r w:rsidR="00F279D3" w:rsidRPr="00925B91">
        <w:rPr>
          <w:rFonts w:asciiTheme="minorHAnsi" w:eastAsia="MS Mincho" w:hAnsiTheme="minorHAnsi" w:cstheme="minorHAnsi"/>
          <w:b/>
          <w:sz w:val="28"/>
          <w:szCs w:val="28"/>
          <w:lang w:val="en-US"/>
        </w:rPr>
        <w:t xml:space="preserve"> expert</w:t>
      </w:r>
      <w:r w:rsidR="007125FA" w:rsidRPr="00925B91">
        <w:rPr>
          <w:rFonts w:asciiTheme="minorHAnsi" w:eastAsia="MS Mincho" w:hAnsiTheme="minorHAnsi" w:cstheme="minorHAnsi"/>
          <w:b/>
          <w:sz w:val="28"/>
          <w:szCs w:val="28"/>
          <w:lang w:val="en-US"/>
        </w:rPr>
        <w:t>)</w:t>
      </w:r>
      <w:r w:rsidR="00F279D3" w:rsidRPr="00925B91">
        <w:rPr>
          <w:rFonts w:asciiTheme="minorHAnsi" w:eastAsia="MS Mincho" w:hAnsiTheme="minorHAnsi" w:cstheme="minorHAnsi"/>
          <w:b/>
          <w:sz w:val="28"/>
          <w:szCs w:val="28"/>
          <w:lang w:val="en-US"/>
        </w:rPr>
        <w:t>: Local Consultant #4</w:t>
      </w:r>
      <w:r w:rsidR="007125FA" w:rsidRPr="00925B91">
        <w:rPr>
          <w:rFonts w:asciiTheme="minorHAnsi" w:eastAsia="MS Mincho" w:hAnsiTheme="minorHAnsi" w:cstheme="minorHAnsi"/>
          <w:b/>
          <w:sz w:val="22"/>
          <w:szCs w:val="22"/>
          <w:lang w:val="en-US"/>
        </w:rPr>
        <w:t xml:space="preserve"> </w:t>
      </w:r>
    </w:p>
    <w:p w14:paraId="6C9A1C2E" w14:textId="04BA42B5" w:rsidR="00A96829" w:rsidRPr="002F39BD" w:rsidRDefault="00A96829" w:rsidP="002F39BD">
      <w:pPr>
        <w:pStyle w:val="Heading2"/>
        <w:spacing w:after="120"/>
        <w:jc w:val="both"/>
        <w:rPr>
          <w:rFonts w:asciiTheme="minorHAnsi" w:hAnsiTheme="minorHAnsi" w:cstheme="minorHAnsi"/>
          <w:sz w:val="24"/>
          <w:szCs w:val="24"/>
          <w:lang w:val="en-US"/>
        </w:rPr>
      </w:pPr>
      <w:proofErr w:type="gramStart"/>
      <w:r w:rsidRPr="002F39BD">
        <w:rPr>
          <w:rFonts w:asciiTheme="minorHAnsi" w:hAnsiTheme="minorHAnsi" w:cstheme="minorHAnsi"/>
          <w:sz w:val="24"/>
          <w:szCs w:val="24"/>
          <w:lang w:val="en-US"/>
        </w:rPr>
        <w:t>UNEP DTU Partnership is seeking to hire a short-term national technical Consultant to support the Climate Change Policy Directorate from the Ministry of Environment and Natural Resources of Mexico in</w:t>
      </w:r>
      <w:r w:rsidR="006744D3">
        <w:rPr>
          <w:rFonts w:asciiTheme="minorHAnsi" w:hAnsiTheme="minorHAnsi" w:cstheme="minorHAnsi"/>
          <w:sz w:val="24"/>
          <w:szCs w:val="24"/>
          <w:lang w:val="en-US"/>
        </w:rPr>
        <w:t xml:space="preserve"> </w:t>
      </w:r>
      <w:r w:rsidR="00CD6C6C" w:rsidRPr="002F39BD">
        <w:rPr>
          <w:rFonts w:asciiTheme="minorHAnsi" w:hAnsiTheme="minorHAnsi" w:cstheme="minorHAnsi"/>
          <w:sz w:val="24"/>
          <w:szCs w:val="24"/>
          <w:lang w:val="en-US"/>
        </w:rPr>
        <w:t>supporting</w:t>
      </w:r>
      <w:r w:rsidRPr="002F39BD">
        <w:rPr>
          <w:rFonts w:asciiTheme="minorHAnsi" w:hAnsiTheme="minorHAnsi" w:cstheme="minorHAnsi"/>
          <w:sz w:val="24"/>
          <w:szCs w:val="24"/>
          <w:lang w:val="en-US"/>
        </w:rPr>
        <w:t xml:space="preserve"> the development of the Outcome 1: Support in the conformation of a </w:t>
      </w:r>
      <w:bookmarkStart w:id="0" w:name="_Hlk86399304"/>
      <w:r w:rsidRPr="002F39BD">
        <w:rPr>
          <w:rFonts w:asciiTheme="minorHAnsi" w:hAnsiTheme="minorHAnsi" w:cstheme="minorHAnsi"/>
          <w:sz w:val="24"/>
          <w:szCs w:val="24"/>
          <w:lang w:val="en-US"/>
        </w:rPr>
        <w:t>Critical pathway for compliance of the mitigation commitments under the Paris Agreement</w:t>
      </w:r>
      <w:bookmarkEnd w:id="0"/>
      <w:r w:rsidRPr="002F39BD">
        <w:rPr>
          <w:rFonts w:asciiTheme="minorHAnsi" w:hAnsiTheme="minorHAnsi" w:cstheme="minorHAnsi"/>
          <w:sz w:val="24"/>
          <w:szCs w:val="24"/>
          <w:lang w:val="en-US"/>
        </w:rPr>
        <w:t xml:space="preserve">, notably in outlining a set of mitigation measures for each of the 8 sectors established at the </w:t>
      </w:r>
      <w:bookmarkStart w:id="1" w:name="_Hlk86399289"/>
      <w:r w:rsidRPr="002F39BD">
        <w:rPr>
          <w:rFonts w:asciiTheme="minorHAnsi" w:hAnsiTheme="minorHAnsi" w:cstheme="minorHAnsi"/>
          <w:sz w:val="24"/>
          <w:szCs w:val="24"/>
          <w:lang w:val="en-US"/>
        </w:rPr>
        <w:t xml:space="preserve">General Law of Climate Change (Second Transitory Article)LGCC and defining accompanying </w:t>
      </w:r>
      <w:bookmarkEnd w:id="1"/>
      <w:r w:rsidRPr="002F39BD">
        <w:rPr>
          <w:rFonts w:asciiTheme="minorHAnsi" w:hAnsiTheme="minorHAnsi" w:cstheme="minorHAnsi"/>
          <w:sz w:val="24"/>
          <w:szCs w:val="24"/>
          <w:lang w:val="en-US"/>
        </w:rPr>
        <w:t>MRV frameworks for an adequate tracking of these measures.</w:t>
      </w:r>
      <w:bookmarkStart w:id="2" w:name="_GoBack"/>
      <w:bookmarkEnd w:id="2"/>
      <w:proofErr w:type="gramEnd"/>
    </w:p>
    <w:p w14:paraId="15CF778E" w14:textId="1A23AC03" w:rsidR="000A3C6A" w:rsidRDefault="000A3C6A" w:rsidP="000A3C6A">
      <w:pPr>
        <w:rPr>
          <w:rFonts w:asciiTheme="minorHAnsi" w:eastAsia="MS Mincho" w:hAnsiTheme="minorHAnsi" w:cstheme="minorHAnsi"/>
          <w:sz w:val="22"/>
          <w:szCs w:val="22"/>
          <w:lang w:val="en-US"/>
        </w:rPr>
      </w:pPr>
    </w:p>
    <w:p w14:paraId="3D0CE238" w14:textId="77777777" w:rsidR="002F39BD" w:rsidRDefault="002F39BD" w:rsidP="002F39BD">
      <w:pPr>
        <w:rPr>
          <w:rFonts w:ascii="Calibri" w:eastAsia="MS Mincho" w:hAnsi="Calibri" w:cs="Calibri"/>
          <w:sz w:val="22"/>
          <w:szCs w:val="22"/>
          <w:lang w:val="en-US"/>
        </w:rPr>
      </w:pPr>
      <w:r>
        <w:rPr>
          <w:rFonts w:ascii="Calibri" w:eastAsia="MS Mincho" w:hAnsi="Calibri" w:cs="Calibri"/>
          <w:sz w:val="22"/>
          <w:szCs w:val="22"/>
          <w:lang w:val="en-US"/>
        </w:rPr>
        <w:t>Important Note: The recruitment of the national consultants for the ICAT project in Mexico is conditional to the prior signature of the contract between the Government of Mexico and UNEP DTU Partnership.</w:t>
      </w:r>
    </w:p>
    <w:p w14:paraId="658ABC44" w14:textId="166559FE" w:rsidR="002F39BD" w:rsidRDefault="002F39BD" w:rsidP="000A3C6A">
      <w:pPr>
        <w:rPr>
          <w:rFonts w:asciiTheme="minorHAnsi" w:eastAsia="MS Mincho" w:hAnsiTheme="minorHAnsi" w:cstheme="minorHAnsi"/>
          <w:sz w:val="22"/>
          <w:szCs w:val="22"/>
          <w:lang w:val="en-US"/>
        </w:rPr>
      </w:pPr>
    </w:p>
    <w:p w14:paraId="493A1E38" w14:textId="77777777" w:rsidR="002F39BD" w:rsidRPr="00925B91" w:rsidRDefault="002F39BD" w:rsidP="000A3C6A">
      <w:pPr>
        <w:rPr>
          <w:rFonts w:asciiTheme="minorHAnsi" w:eastAsia="MS Mincho" w:hAnsiTheme="minorHAnsi" w:cstheme="minorHAnsi"/>
          <w:sz w:val="22"/>
          <w:szCs w:val="22"/>
          <w:lang w:val="en-US"/>
        </w:rPr>
      </w:pPr>
    </w:p>
    <w:p w14:paraId="27793F64" w14:textId="77777777" w:rsidR="00C90C73" w:rsidRPr="00925B91" w:rsidRDefault="00404931" w:rsidP="00A85C56">
      <w:pPr>
        <w:pStyle w:val="ListParagraph"/>
        <w:numPr>
          <w:ilvl w:val="0"/>
          <w:numId w:val="1"/>
        </w:numPr>
        <w:spacing w:before="120" w:after="120"/>
        <w:ind w:left="284"/>
        <w:jc w:val="both"/>
        <w:rPr>
          <w:rFonts w:asciiTheme="minorHAnsi" w:eastAsia="Calibri" w:hAnsiTheme="minorHAnsi" w:cstheme="minorHAnsi"/>
          <w:b/>
          <w:sz w:val="22"/>
          <w:szCs w:val="22"/>
          <w:lang w:val="en-US"/>
        </w:rPr>
      </w:pPr>
      <w:r w:rsidRPr="00925B91">
        <w:rPr>
          <w:rFonts w:asciiTheme="minorHAnsi" w:eastAsia="Calibri" w:hAnsiTheme="minorHAnsi" w:cstheme="minorHAnsi"/>
          <w:b/>
          <w:sz w:val="22"/>
          <w:szCs w:val="22"/>
          <w:lang w:val="en-US"/>
        </w:rPr>
        <w:t>Background</w:t>
      </w:r>
    </w:p>
    <w:p w14:paraId="363F0928" w14:textId="1A298066" w:rsidR="001C7AEE" w:rsidRPr="00925B91" w:rsidRDefault="001C7AEE" w:rsidP="001C7AEE">
      <w:pPr>
        <w:spacing w:before="120" w:after="120"/>
        <w:ind w:left="-76"/>
        <w:jc w:val="both"/>
        <w:rPr>
          <w:rFonts w:asciiTheme="minorHAnsi" w:eastAsia="Calibri" w:hAnsiTheme="minorHAnsi" w:cstheme="minorHAnsi"/>
          <w:sz w:val="22"/>
          <w:szCs w:val="22"/>
          <w:lang w:val="en-GB"/>
        </w:rPr>
      </w:pPr>
      <w:r w:rsidRPr="00925B91">
        <w:rPr>
          <w:rFonts w:asciiTheme="minorHAnsi" w:eastAsia="Calibri" w:hAnsiTheme="minorHAnsi" w:cstheme="minorHAnsi"/>
          <w:sz w:val="22"/>
          <w:szCs w:val="22"/>
          <w:lang w:val="en-GB"/>
        </w:rPr>
        <w:t xml:space="preserve">Despite the legal framework of transparency in place, Mexico lacks </w:t>
      </w:r>
      <w:r w:rsidR="00A23BA6" w:rsidRPr="00925B91">
        <w:rPr>
          <w:rFonts w:asciiTheme="minorHAnsi" w:eastAsia="Calibri" w:hAnsiTheme="minorHAnsi" w:cstheme="minorHAnsi"/>
          <w:sz w:val="22"/>
          <w:szCs w:val="22"/>
          <w:lang w:val="en-GB"/>
        </w:rPr>
        <w:t xml:space="preserve">an over-all </w:t>
      </w:r>
      <w:r w:rsidR="00AC3722" w:rsidRPr="00925B91">
        <w:rPr>
          <w:rFonts w:asciiTheme="minorHAnsi" w:eastAsia="Calibri" w:hAnsiTheme="minorHAnsi" w:cstheme="minorHAnsi"/>
          <w:sz w:val="22"/>
          <w:szCs w:val="22"/>
          <w:lang w:val="en-GB"/>
        </w:rPr>
        <w:t>system to</w:t>
      </w:r>
      <w:r w:rsidRPr="00925B91">
        <w:rPr>
          <w:rFonts w:asciiTheme="minorHAnsi" w:eastAsia="Calibri" w:hAnsiTheme="minorHAnsi" w:cstheme="minorHAnsi"/>
          <w:sz w:val="22"/>
          <w:szCs w:val="22"/>
          <w:lang w:val="en-GB"/>
        </w:rPr>
        <w:t xml:space="preserve"> compile information related to climate action, in a unified and standardized way across government levels ministries and initiatives. In effect, </w:t>
      </w:r>
      <w:r w:rsidR="00A23BA6" w:rsidRPr="00925B91">
        <w:rPr>
          <w:rFonts w:asciiTheme="minorHAnsi" w:eastAsia="Calibri" w:hAnsiTheme="minorHAnsi" w:cstheme="minorHAnsi"/>
          <w:sz w:val="22"/>
          <w:szCs w:val="22"/>
          <w:lang w:val="en-GB"/>
        </w:rPr>
        <w:t xml:space="preserve">despite counting with some system like the SIAT-PECC (Sistema de </w:t>
      </w:r>
      <w:proofErr w:type="spellStart"/>
      <w:r w:rsidR="00A23BA6" w:rsidRPr="00925B91">
        <w:rPr>
          <w:rFonts w:asciiTheme="minorHAnsi" w:eastAsia="Calibri" w:hAnsiTheme="minorHAnsi" w:cstheme="minorHAnsi"/>
          <w:sz w:val="22"/>
          <w:szCs w:val="22"/>
          <w:lang w:val="en-GB"/>
        </w:rPr>
        <w:t>Información</w:t>
      </w:r>
      <w:proofErr w:type="spellEnd"/>
      <w:r w:rsidR="00A23BA6" w:rsidRPr="00925B91">
        <w:rPr>
          <w:rFonts w:asciiTheme="minorHAnsi" w:eastAsia="Calibri" w:hAnsiTheme="minorHAnsi" w:cstheme="minorHAnsi"/>
          <w:sz w:val="22"/>
          <w:szCs w:val="22"/>
          <w:lang w:val="en-GB"/>
        </w:rPr>
        <w:t xml:space="preserve"> de la Agenda de </w:t>
      </w:r>
      <w:proofErr w:type="spellStart"/>
      <w:r w:rsidR="00A23BA6" w:rsidRPr="00925B91">
        <w:rPr>
          <w:rFonts w:asciiTheme="minorHAnsi" w:eastAsia="Calibri" w:hAnsiTheme="minorHAnsi" w:cstheme="minorHAnsi"/>
          <w:sz w:val="22"/>
          <w:szCs w:val="22"/>
          <w:lang w:val="en-GB"/>
        </w:rPr>
        <w:t>T</w:t>
      </w:r>
      <w:r w:rsidR="004574CE" w:rsidRPr="00925B91">
        <w:rPr>
          <w:rFonts w:asciiTheme="minorHAnsi" w:eastAsia="Calibri" w:hAnsiTheme="minorHAnsi" w:cstheme="minorHAnsi"/>
          <w:sz w:val="22"/>
          <w:szCs w:val="22"/>
          <w:lang w:val="en-GB"/>
        </w:rPr>
        <w:t>r</w:t>
      </w:r>
      <w:r w:rsidR="00A23BA6" w:rsidRPr="00925B91">
        <w:rPr>
          <w:rFonts w:asciiTheme="minorHAnsi" w:eastAsia="Calibri" w:hAnsiTheme="minorHAnsi" w:cstheme="minorHAnsi"/>
          <w:sz w:val="22"/>
          <w:szCs w:val="22"/>
          <w:lang w:val="en-GB"/>
        </w:rPr>
        <w:t>ansparencia</w:t>
      </w:r>
      <w:proofErr w:type="spellEnd"/>
      <w:r w:rsidR="00A23BA6" w:rsidRPr="00925B91">
        <w:rPr>
          <w:rFonts w:asciiTheme="minorHAnsi" w:eastAsia="Calibri" w:hAnsiTheme="minorHAnsi" w:cstheme="minorHAnsi"/>
          <w:sz w:val="22"/>
          <w:szCs w:val="22"/>
          <w:lang w:val="en-GB"/>
        </w:rPr>
        <w:t xml:space="preserve"> del Cambio Climático, del </w:t>
      </w:r>
      <w:proofErr w:type="spellStart"/>
      <w:r w:rsidR="00A23BA6" w:rsidRPr="00925B91">
        <w:rPr>
          <w:rFonts w:asciiTheme="minorHAnsi" w:eastAsia="Calibri" w:hAnsiTheme="minorHAnsi" w:cstheme="minorHAnsi"/>
          <w:sz w:val="22"/>
          <w:szCs w:val="22"/>
          <w:lang w:val="en-GB"/>
        </w:rPr>
        <w:t>Programa</w:t>
      </w:r>
      <w:proofErr w:type="spellEnd"/>
      <w:r w:rsidR="00A23BA6" w:rsidRPr="00925B91">
        <w:rPr>
          <w:rFonts w:asciiTheme="minorHAnsi" w:eastAsia="Calibri" w:hAnsiTheme="minorHAnsi" w:cstheme="minorHAnsi"/>
          <w:sz w:val="22"/>
          <w:szCs w:val="22"/>
          <w:lang w:val="en-GB"/>
        </w:rPr>
        <w:t xml:space="preserve"> Especial de Cambio Climático), there is a</w:t>
      </w:r>
      <w:r w:rsidRPr="00925B91">
        <w:rPr>
          <w:rFonts w:asciiTheme="minorHAnsi" w:eastAsia="Calibri" w:hAnsiTheme="minorHAnsi" w:cstheme="minorHAnsi"/>
          <w:sz w:val="22"/>
          <w:szCs w:val="22"/>
          <w:lang w:val="en-GB"/>
        </w:rPr>
        <w:t xml:space="preserve"> lack of uniform criteria and methodologies to collect data makes it difficult to generate and provide updated and reliable data for different actors at the national and subnational levels. National government may be unaware of the various mitigation actions undertaken by companies, investors, cities, states and regions; unsure about to which extent those actions help achieve national targets or go beyond them; or unable to reflect the impact of those actions in national GHG.</w:t>
      </w:r>
    </w:p>
    <w:p w14:paraId="2B4F1EA6" w14:textId="539BD957" w:rsidR="001C7AEE" w:rsidRPr="00925B91" w:rsidRDefault="001C7AEE" w:rsidP="001C7AEE">
      <w:pPr>
        <w:spacing w:before="120" w:after="120"/>
        <w:ind w:left="-76"/>
        <w:jc w:val="both"/>
        <w:rPr>
          <w:rFonts w:asciiTheme="minorHAnsi" w:eastAsia="Calibri" w:hAnsiTheme="minorHAnsi" w:cstheme="minorHAnsi"/>
          <w:sz w:val="22"/>
          <w:szCs w:val="22"/>
          <w:lang w:val="en-GB"/>
        </w:rPr>
      </w:pPr>
      <w:r w:rsidRPr="00925B91">
        <w:rPr>
          <w:rFonts w:asciiTheme="minorHAnsi" w:eastAsia="Calibri" w:hAnsiTheme="minorHAnsi" w:cstheme="minorHAnsi"/>
          <w:sz w:val="22"/>
          <w:szCs w:val="22"/>
          <w:lang w:val="en-GB"/>
        </w:rPr>
        <w:t xml:space="preserve">To this end, the systematization of information on climate action across Governments levels and sectors is essential for the implementation of the Paris Agreement; for informing future global stock </w:t>
      </w:r>
      <w:proofErr w:type="gramStart"/>
      <w:r w:rsidRPr="00925B91">
        <w:rPr>
          <w:rFonts w:asciiTheme="minorHAnsi" w:eastAsia="Calibri" w:hAnsiTheme="minorHAnsi" w:cstheme="minorHAnsi"/>
          <w:sz w:val="22"/>
          <w:szCs w:val="22"/>
          <w:lang w:val="en-GB"/>
        </w:rPr>
        <w:t>takes ;</w:t>
      </w:r>
      <w:proofErr w:type="gramEnd"/>
      <w:r w:rsidRPr="00925B91">
        <w:rPr>
          <w:rFonts w:asciiTheme="minorHAnsi" w:eastAsia="Calibri" w:hAnsiTheme="minorHAnsi" w:cstheme="minorHAnsi"/>
          <w:sz w:val="22"/>
          <w:szCs w:val="22"/>
          <w:lang w:val="en-GB"/>
        </w:rPr>
        <w:t xml:space="preserve"> and</w:t>
      </w:r>
      <w:r w:rsidR="00A96829">
        <w:rPr>
          <w:rFonts w:asciiTheme="minorHAnsi" w:eastAsia="Calibri" w:hAnsiTheme="minorHAnsi" w:cstheme="minorHAnsi"/>
          <w:sz w:val="22"/>
          <w:szCs w:val="22"/>
          <w:lang w:val="en-GB"/>
        </w:rPr>
        <w:t xml:space="preserve"> </w:t>
      </w:r>
      <w:r w:rsidRPr="00925B91">
        <w:rPr>
          <w:rFonts w:asciiTheme="minorHAnsi" w:eastAsia="Calibri" w:hAnsiTheme="minorHAnsi" w:cstheme="minorHAnsi"/>
          <w:sz w:val="22"/>
          <w:szCs w:val="22"/>
          <w:lang w:val="en-GB"/>
        </w:rPr>
        <w:t xml:space="preserve">for raising ambition of the </w:t>
      </w:r>
      <w:r w:rsidR="00A96829">
        <w:rPr>
          <w:rFonts w:asciiTheme="minorHAnsi" w:eastAsia="Calibri" w:hAnsiTheme="minorHAnsi" w:cstheme="minorHAnsi"/>
          <w:sz w:val="22"/>
          <w:szCs w:val="22"/>
          <w:lang w:val="en-GB"/>
        </w:rPr>
        <w:t>mitigation commitments</w:t>
      </w:r>
      <w:r w:rsidR="00A96829" w:rsidRPr="00925B91">
        <w:rPr>
          <w:rFonts w:asciiTheme="minorHAnsi" w:eastAsia="Calibri" w:hAnsiTheme="minorHAnsi" w:cstheme="minorHAnsi"/>
          <w:sz w:val="22"/>
          <w:szCs w:val="22"/>
          <w:lang w:val="en-GB"/>
        </w:rPr>
        <w:t xml:space="preserve"> </w:t>
      </w:r>
      <w:r w:rsidRPr="00925B91">
        <w:rPr>
          <w:rFonts w:asciiTheme="minorHAnsi" w:eastAsia="Calibri" w:hAnsiTheme="minorHAnsi" w:cstheme="minorHAnsi"/>
          <w:sz w:val="22"/>
          <w:szCs w:val="22"/>
          <w:lang w:val="en-GB"/>
        </w:rPr>
        <w:t xml:space="preserve">to lead the way towards a low carbon development. Having a national transparency framework will allow Mexico to acknowledge and have a clear understanding of its own efforts for climate change action, good practices, priorities, needs and gaps. It will also improve its MRV and M&amp;E system by strengthening clarity and tracking of progress on mitigation and adaptation actions. In addition, it will also integrate sub-national and federal climate action which can lead to better understanding climate challenges, improving knowledge, reporting capacities and decision making, based on sufficient, consistent, updated and reliable information. </w:t>
      </w:r>
    </w:p>
    <w:p w14:paraId="15578BFE" w14:textId="6EB37120" w:rsidR="001C7AEE" w:rsidRPr="00925B91" w:rsidRDefault="007B225A" w:rsidP="007B225A">
      <w:pPr>
        <w:spacing w:before="120" w:after="120"/>
        <w:ind w:left="-76"/>
        <w:jc w:val="both"/>
        <w:rPr>
          <w:rFonts w:asciiTheme="minorHAnsi" w:eastAsia="Calibri" w:hAnsiTheme="minorHAnsi" w:cstheme="minorHAnsi"/>
          <w:sz w:val="22"/>
          <w:szCs w:val="22"/>
          <w:lang w:val="en-GB"/>
        </w:rPr>
      </w:pPr>
      <w:r w:rsidRPr="00925B91">
        <w:rPr>
          <w:rFonts w:asciiTheme="minorHAnsi" w:eastAsia="Calibri" w:hAnsiTheme="minorHAnsi" w:cstheme="minorHAnsi"/>
          <w:sz w:val="22"/>
          <w:szCs w:val="22"/>
          <w:lang w:val="en-GB"/>
        </w:rPr>
        <w:t xml:space="preserve">In order </w:t>
      </w:r>
      <w:r w:rsidRPr="00F279D3">
        <w:rPr>
          <w:rFonts w:asciiTheme="minorHAnsi" w:hAnsiTheme="minorHAnsi" w:cstheme="minorHAnsi"/>
          <w:sz w:val="22"/>
          <w:szCs w:val="22"/>
          <w:lang w:val="en-US"/>
        </w:rPr>
        <w:t xml:space="preserve">to fulfill the mandate to increase the population’s engagement in the construction of the </w:t>
      </w:r>
      <w:r w:rsidR="00B1153B">
        <w:rPr>
          <w:rFonts w:asciiTheme="minorHAnsi" w:eastAsia="MS Mincho" w:hAnsiTheme="minorHAnsi" w:cstheme="minorHAnsi"/>
          <w:sz w:val="22"/>
          <w:szCs w:val="22"/>
          <w:lang w:val="en-US"/>
        </w:rPr>
        <w:t>Critical pathway for compliance of the mitigation commitments under the Paris Agreement</w:t>
      </w:r>
      <w:r w:rsidRPr="00F279D3">
        <w:rPr>
          <w:rFonts w:asciiTheme="minorHAnsi" w:hAnsiTheme="minorHAnsi" w:cstheme="minorHAnsi"/>
          <w:sz w:val="22"/>
          <w:szCs w:val="22"/>
          <w:lang w:val="en-US"/>
        </w:rPr>
        <w:t xml:space="preserve">, during 2020, a participatory process </w:t>
      </w:r>
      <w:proofErr w:type="gramStart"/>
      <w:r w:rsidRPr="00F279D3">
        <w:rPr>
          <w:rFonts w:asciiTheme="minorHAnsi" w:hAnsiTheme="minorHAnsi" w:cstheme="minorHAnsi"/>
          <w:sz w:val="22"/>
          <w:szCs w:val="22"/>
          <w:lang w:val="en-US"/>
        </w:rPr>
        <w:t>was conducted</w:t>
      </w:r>
      <w:proofErr w:type="gramEnd"/>
      <w:r w:rsidRPr="00F279D3">
        <w:rPr>
          <w:rFonts w:asciiTheme="minorHAnsi" w:hAnsiTheme="minorHAnsi" w:cstheme="minorHAnsi"/>
          <w:sz w:val="22"/>
          <w:szCs w:val="22"/>
          <w:lang w:val="en-US"/>
        </w:rPr>
        <w:t xml:space="preserve"> nationwide. This process included Ministries of State, through the Inter-secretarial Commission on Climate Change, as well as state governments, scholars, social organizations, the private sector and the public in general. </w:t>
      </w:r>
      <w:proofErr w:type="gramStart"/>
      <w:r w:rsidRPr="00F279D3">
        <w:rPr>
          <w:rFonts w:asciiTheme="minorHAnsi" w:hAnsiTheme="minorHAnsi" w:cstheme="minorHAnsi"/>
          <w:sz w:val="22"/>
          <w:szCs w:val="22"/>
          <w:lang w:val="en-US"/>
        </w:rPr>
        <w:t>Also</w:t>
      </w:r>
      <w:proofErr w:type="gramEnd"/>
      <w:r w:rsidR="001C7AEE" w:rsidRPr="00925B91">
        <w:rPr>
          <w:rFonts w:asciiTheme="minorHAnsi" w:eastAsia="Calibri" w:hAnsiTheme="minorHAnsi" w:cstheme="minorHAnsi"/>
          <w:sz w:val="22"/>
          <w:szCs w:val="22"/>
          <w:lang w:val="en-GB"/>
        </w:rPr>
        <w:t xml:space="preserve">, some progress has been reached with </w:t>
      </w:r>
      <w:r w:rsidR="00A23BA6" w:rsidRPr="00925B91">
        <w:rPr>
          <w:rFonts w:asciiTheme="minorHAnsi" w:eastAsia="Calibri" w:hAnsiTheme="minorHAnsi" w:cstheme="minorHAnsi"/>
          <w:sz w:val="22"/>
          <w:szCs w:val="22"/>
          <w:lang w:val="en-GB"/>
        </w:rPr>
        <w:t xml:space="preserve">federal and </w:t>
      </w:r>
      <w:r w:rsidR="001C7AEE" w:rsidRPr="00925B91">
        <w:rPr>
          <w:rFonts w:asciiTheme="minorHAnsi" w:eastAsia="Calibri" w:hAnsiTheme="minorHAnsi" w:cstheme="minorHAnsi"/>
          <w:sz w:val="22"/>
          <w:szCs w:val="22"/>
          <w:lang w:val="en-GB"/>
        </w:rPr>
        <w:t xml:space="preserve">subnational authorities in enhancing their understanding on the content and targets of the </w:t>
      </w:r>
      <w:r w:rsidR="00A96829">
        <w:rPr>
          <w:rFonts w:asciiTheme="minorHAnsi" w:eastAsia="Calibri" w:hAnsiTheme="minorHAnsi" w:cstheme="minorHAnsi"/>
          <w:sz w:val="22"/>
          <w:szCs w:val="22"/>
          <w:lang w:val="en-GB"/>
        </w:rPr>
        <w:t>commitments under the Paris agreement</w:t>
      </w:r>
      <w:r w:rsidR="00A96829" w:rsidRPr="00925B91">
        <w:rPr>
          <w:rFonts w:asciiTheme="minorHAnsi" w:eastAsia="Calibri" w:hAnsiTheme="minorHAnsi" w:cstheme="minorHAnsi"/>
          <w:sz w:val="22"/>
          <w:szCs w:val="22"/>
          <w:lang w:val="en-GB"/>
        </w:rPr>
        <w:t xml:space="preserve"> </w:t>
      </w:r>
      <w:r w:rsidR="001C7AEE" w:rsidRPr="00925B91">
        <w:rPr>
          <w:rFonts w:asciiTheme="minorHAnsi" w:eastAsia="Calibri" w:hAnsiTheme="minorHAnsi" w:cstheme="minorHAnsi"/>
          <w:sz w:val="22"/>
          <w:szCs w:val="22"/>
          <w:lang w:val="en-GB"/>
        </w:rPr>
        <w:t xml:space="preserve">and on the potential role they may have on achieving the targets. There is also progress on setting up </w:t>
      </w:r>
      <w:r w:rsidR="001C7AEE" w:rsidRPr="00925B91">
        <w:rPr>
          <w:rFonts w:asciiTheme="minorHAnsi" w:eastAsia="Calibri" w:hAnsiTheme="minorHAnsi" w:cstheme="minorHAnsi"/>
          <w:sz w:val="22"/>
          <w:szCs w:val="22"/>
          <w:lang w:val="en-GB"/>
        </w:rPr>
        <w:lastRenderedPageBreak/>
        <w:t xml:space="preserve">the regulatory and institutional frameworks at subnational level for climate change policy to be developed and implemented consistently in relation to the provisions of the LGCC. In addition, many subnational authorities have launched Climate Change Action Plans, which incorporate mitigation or adaptation targets and some include MRV and M&amp;E components for tracking progress. These efforts from the subnational level must be supported by providing them and the national (SEMARNAT) level with adequate tools that on one hand allow for a proper identification of needs and gaps, and on the other hand, strengthen the establishment of an adequate climate reporting foundation. Both aspects are very important for overcoming these gaps and support effective implementation of the following </w:t>
      </w:r>
      <w:r w:rsidR="003E3F43">
        <w:rPr>
          <w:rFonts w:asciiTheme="minorHAnsi" w:eastAsia="MS Mincho" w:hAnsiTheme="minorHAnsi" w:cstheme="minorHAnsi"/>
          <w:sz w:val="22"/>
          <w:szCs w:val="22"/>
          <w:lang w:val="en-US"/>
        </w:rPr>
        <w:t>steps</w:t>
      </w:r>
      <w:r w:rsidR="001C7AEE" w:rsidRPr="00925B91">
        <w:rPr>
          <w:rFonts w:asciiTheme="minorHAnsi" w:eastAsia="Calibri" w:hAnsiTheme="minorHAnsi" w:cstheme="minorHAnsi"/>
          <w:sz w:val="22"/>
          <w:szCs w:val="22"/>
          <w:lang w:val="en-GB"/>
        </w:rPr>
        <w:t>.</w:t>
      </w:r>
    </w:p>
    <w:p w14:paraId="61D90DAD" w14:textId="686A861A" w:rsidR="00166AC0" w:rsidRPr="00925B91" w:rsidRDefault="001C7AEE" w:rsidP="001C7AEE">
      <w:pPr>
        <w:spacing w:before="120" w:after="120"/>
        <w:ind w:left="-76"/>
        <w:jc w:val="both"/>
        <w:rPr>
          <w:rFonts w:asciiTheme="minorHAnsi" w:eastAsia="Calibri" w:hAnsiTheme="minorHAnsi" w:cstheme="minorHAnsi"/>
          <w:sz w:val="22"/>
          <w:szCs w:val="22"/>
          <w:lang w:val="en-GB"/>
        </w:rPr>
      </w:pPr>
      <w:r w:rsidRPr="00925B91">
        <w:rPr>
          <w:rFonts w:asciiTheme="minorHAnsi" w:eastAsia="Calibri" w:hAnsiTheme="minorHAnsi" w:cstheme="minorHAnsi"/>
          <w:sz w:val="22"/>
          <w:szCs w:val="22"/>
          <w:lang w:val="en-GB"/>
        </w:rPr>
        <w:t xml:space="preserve">On this background, the Initiative for Climate Action Transparency (ICAT) seeks to support Mexico’s efforts to establish a solid </w:t>
      </w:r>
      <w:r w:rsidR="00CF7161" w:rsidRPr="00925B91">
        <w:rPr>
          <w:rFonts w:asciiTheme="minorHAnsi" w:eastAsia="Calibri" w:hAnsiTheme="minorHAnsi" w:cstheme="minorHAnsi"/>
          <w:sz w:val="22"/>
          <w:szCs w:val="22"/>
          <w:lang w:val="en-GB"/>
        </w:rPr>
        <w:t xml:space="preserve">national and </w:t>
      </w:r>
      <w:r w:rsidRPr="00925B91">
        <w:rPr>
          <w:rFonts w:asciiTheme="minorHAnsi" w:eastAsia="Calibri" w:hAnsiTheme="minorHAnsi" w:cstheme="minorHAnsi"/>
          <w:sz w:val="22"/>
          <w:szCs w:val="22"/>
          <w:lang w:val="en-GB"/>
        </w:rPr>
        <w:t xml:space="preserve">subnational transparency system, with a focus on supporting the existing tools developed by SEMARNAT for tracking progress of </w:t>
      </w:r>
      <w:r w:rsidR="003E3F43">
        <w:rPr>
          <w:rFonts w:asciiTheme="minorHAnsi" w:eastAsia="Calibri" w:hAnsiTheme="minorHAnsi" w:cstheme="minorHAnsi"/>
          <w:sz w:val="22"/>
          <w:szCs w:val="22"/>
          <w:lang w:val="en-GB"/>
        </w:rPr>
        <w:t xml:space="preserve">the </w:t>
      </w:r>
      <w:r w:rsidR="003E3F43">
        <w:rPr>
          <w:rFonts w:asciiTheme="minorHAnsi" w:eastAsia="MS Mincho" w:hAnsiTheme="minorHAnsi" w:cstheme="minorHAnsi"/>
          <w:sz w:val="22"/>
          <w:szCs w:val="22"/>
          <w:lang w:val="en-US"/>
        </w:rPr>
        <w:t>Critical pathway for compliance of the mitigation commitments under the Paris Agreement</w:t>
      </w:r>
      <w:r w:rsidR="00CF7161" w:rsidRPr="00925B91">
        <w:rPr>
          <w:rFonts w:asciiTheme="minorHAnsi" w:eastAsia="Calibri" w:hAnsiTheme="minorHAnsi" w:cstheme="minorHAnsi"/>
          <w:sz w:val="22"/>
          <w:szCs w:val="22"/>
          <w:lang w:val="en-GB"/>
        </w:rPr>
        <w:t>.</w:t>
      </w:r>
      <w:r w:rsidR="00F279D3" w:rsidRPr="00F279D3">
        <w:rPr>
          <w:rFonts w:asciiTheme="minorHAnsi" w:eastAsia="Calibri" w:hAnsiTheme="minorHAnsi" w:cstheme="minorHAnsi"/>
          <w:sz w:val="22"/>
          <w:szCs w:val="22"/>
          <w:lang w:val="en-GB"/>
        </w:rPr>
        <w:t xml:space="preserve"> ICAT in Mexico will aim to assess the existing alignment of national</w:t>
      </w:r>
      <w:r w:rsidR="00EE0970">
        <w:rPr>
          <w:rFonts w:asciiTheme="minorHAnsi" w:eastAsia="Calibri" w:hAnsiTheme="minorHAnsi" w:cstheme="minorHAnsi"/>
          <w:sz w:val="22"/>
          <w:szCs w:val="22"/>
          <w:lang w:val="en-GB"/>
        </w:rPr>
        <w:t xml:space="preserve"> and subnational</w:t>
      </w:r>
      <w:r w:rsidR="00F279D3" w:rsidRPr="00F279D3">
        <w:rPr>
          <w:rFonts w:asciiTheme="minorHAnsi" w:eastAsia="Calibri" w:hAnsiTheme="minorHAnsi" w:cstheme="minorHAnsi"/>
          <w:sz w:val="22"/>
          <w:szCs w:val="22"/>
          <w:lang w:val="en-GB"/>
        </w:rPr>
        <w:t xml:space="preserve"> climate change initiatives and to apply clear assessment methodologies and indicators </w:t>
      </w:r>
      <w:r w:rsidR="00EE0970">
        <w:rPr>
          <w:rFonts w:asciiTheme="minorHAnsi" w:eastAsia="Calibri" w:hAnsiTheme="minorHAnsi" w:cstheme="minorHAnsi"/>
          <w:sz w:val="22"/>
          <w:szCs w:val="22"/>
          <w:lang w:val="en-GB"/>
        </w:rPr>
        <w:t xml:space="preserve">of the impact at national </w:t>
      </w:r>
      <w:proofErr w:type="gramStart"/>
      <w:r w:rsidR="00EE0970">
        <w:rPr>
          <w:rFonts w:asciiTheme="minorHAnsi" w:eastAsia="Calibri" w:hAnsiTheme="minorHAnsi" w:cstheme="minorHAnsi"/>
          <w:sz w:val="22"/>
          <w:szCs w:val="22"/>
          <w:lang w:val="en-GB"/>
        </w:rPr>
        <w:t xml:space="preserve">level </w:t>
      </w:r>
      <w:r w:rsidR="00F279D3" w:rsidRPr="00F279D3">
        <w:rPr>
          <w:rFonts w:asciiTheme="minorHAnsi" w:eastAsia="Calibri" w:hAnsiTheme="minorHAnsi" w:cstheme="minorHAnsi"/>
          <w:sz w:val="22"/>
          <w:szCs w:val="22"/>
          <w:lang w:val="en-GB"/>
        </w:rPr>
        <w:t xml:space="preserve"> of</w:t>
      </w:r>
      <w:proofErr w:type="gramEnd"/>
      <w:r w:rsidR="00F279D3" w:rsidRPr="00F279D3">
        <w:rPr>
          <w:rFonts w:asciiTheme="minorHAnsi" w:eastAsia="Calibri" w:hAnsiTheme="minorHAnsi" w:cstheme="minorHAnsi"/>
          <w:sz w:val="22"/>
          <w:szCs w:val="22"/>
          <w:lang w:val="en-GB"/>
        </w:rPr>
        <w:t xml:space="preserve"> subnational actions</w:t>
      </w:r>
      <w:r w:rsidR="002620BC">
        <w:rPr>
          <w:rFonts w:asciiTheme="minorHAnsi" w:eastAsia="Calibri" w:hAnsiTheme="minorHAnsi" w:cstheme="minorHAnsi"/>
          <w:sz w:val="22"/>
          <w:szCs w:val="22"/>
          <w:lang w:val="en-GB"/>
        </w:rPr>
        <w:t>, private sector, academia, and NGOs</w:t>
      </w:r>
      <w:r w:rsidR="00F279D3" w:rsidRPr="00F279D3">
        <w:rPr>
          <w:rFonts w:asciiTheme="minorHAnsi" w:eastAsia="Calibri" w:hAnsiTheme="minorHAnsi" w:cstheme="minorHAnsi"/>
          <w:sz w:val="22"/>
          <w:szCs w:val="22"/>
          <w:lang w:val="en-GB"/>
        </w:rPr>
        <w:t>. The diagnosis of existing climate actions and the application of guidance and methodologies to integrate states and regions into the national transparency system will be accompanied by capacity building and stakeholder engagement activities</w:t>
      </w:r>
      <w:r w:rsidR="00F279D3">
        <w:rPr>
          <w:rFonts w:asciiTheme="minorHAnsi" w:eastAsia="Calibri" w:hAnsiTheme="minorHAnsi" w:cstheme="minorHAnsi"/>
          <w:sz w:val="22"/>
          <w:szCs w:val="22"/>
          <w:lang w:val="en-GB"/>
        </w:rPr>
        <w:t>.</w:t>
      </w:r>
    </w:p>
    <w:p w14:paraId="6C9642F9" w14:textId="77777777" w:rsidR="00C2772B" w:rsidRPr="00925B91" w:rsidRDefault="00C2772B" w:rsidP="00166AC0">
      <w:pPr>
        <w:pStyle w:val="ListParagraph"/>
        <w:spacing w:before="120" w:after="120"/>
        <w:ind w:left="284"/>
        <w:jc w:val="both"/>
        <w:rPr>
          <w:rFonts w:asciiTheme="minorHAnsi" w:eastAsia="Calibri" w:hAnsiTheme="minorHAnsi" w:cstheme="minorHAnsi"/>
          <w:b/>
          <w:sz w:val="22"/>
          <w:szCs w:val="22"/>
          <w:lang w:val="en-US"/>
        </w:rPr>
      </w:pPr>
    </w:p>
    <w:p w14:paraId="7E394453" w14:textId="6DEF11AB" w:rsidR="000C355D" w:rsidRPr="00925B91" w:rsidRDefault="00A85C56" w:rsidP="00C2772B">
      <w:pPr>
        <w:pStyle w:val="ListParagraph"/>
        <w:numPr>
          <w:ilvl w:val="0"/>
          <w:numId w:val="1"/>
        </w:numPr>
        <w:spacing w:before="120" w:after="120"/>
        <w:ind w:left="284"/>
        <w:jc w:val="both"/>
        <w:rPr>
          <w:rFonts w:asciiTheme="minorHAnsi" w:eastAsia="Calibri" w:hAnsiTheme="minorHAnsi" w:cstheme="minorHAnsi"/>
          <w:b/>
          <w:sz w:val="22"/>
          <w:szCs w:val="22"/>
          <w:lang w:val="en-US"/>
        </w:rPr>
      </w:pPr>
      <w:r w:rsidRPr="00925B91">
        <w:rPr>
          <w:rFonts w:asciiTheme="minorHAnsi" w:eastAsia="Calibri" w:hAnsiTheme="minorHAnsi" w:cstheme="minorHAnsi"/>
          <w:b/>
          <w:sz w:val="22"/>
          <w:szCs w:val="22"/>
          <w:lang w:val="en-US"/>
        </w:rPr>
        <w:t>Objective</w:t>
      </w:r>
    </w:p>
    <w:p w14:paraId="6037D3C5" w14:textId="09BBDCCE" w:rsidR="00422C3B" w:rsidRPr="00925B91" w:rsidRDefault="007B225A" w:rsidP="00422C3B">
      <w:pPr>
        <w:spacing w:before="120" w:after="120"/>
        <w:ind w:left="-7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Analyst will </w:t>
      </w:r>
      <w:r w:rsidR="00664E47" w:rsidRPr="00925B91">
        <w:rPr>
          <w:rFonts w:asciiTheme="minorHAnsi" w:eastAsia="Calibri" w:hAnsiTheme="minorHAnsi" w:cstheme="minorHAnsi"/>
          <w:sz w:val="22"/>
          <w:szCs w:val="22"/>
          <w:lang w:val="en-US"/>
        </w:rPr>
        <w:t xml:space="preserve">support the </w:t>
      </w:r>
      <w:r w:rsidRPr="00925B91">
        <w:rPr>
          <w:rFonts w:asciiTheme="minorHAnsi" w:eastAsia="Calibri" w:hAnsiTheme="minorHAnsi" w:cstheme="minorHAnsi"/>
          <w:sz w:val="22"/>
          <w:szCs w:val="22"/>
          <w:lang w:val="en-US"/>
        </w:rPr>
        <w:t xml:space="preserve">ICATs Consultants </w:t>
      </w:r>
      <w:r w:rsidR="00664E47" w:rsidRPr="00925B91">
        <w:rPr>
          <w:rFonts w:asciiTheme="minorHAnsi" w:eastAsia="Calibri" w:hAnsiTheme="minorHAnsi" w:cstheme="minorHAnsi"/>
          <w:sz w:val="22"/>
          <w:szCs w:val="22"/>
          <w:lang w:val="en-US"/>
        </w:rPr>
        <w:t>as well as the Semarnat team to</w:t>
      </w:r>
      <w:r w:rsidRPr="00925B91">
        <w:rPr>
          <w:rFonts w:asciiTheme="minorHAnsi" w:eastAsia="Calibri" w:hAnsiTheme="minorHAnsi" w:cstheme="minorHAnsi"/>
          <w:sz w:val="22"/>
          <w:szCs w:val="22"/>
          <w:lang w:val="en-US"/>
        </w:rPr>
        <w:t xml:space="preserve"> formulate hypotheses about interventions to accelerate the d</w:t>
      </w:r>
      <w:r w:rsidR="00664E47" w:rsidRPr="00925B91">
        <w:rPr>
          <w:rFonts w:asciiTheme="minorHAnsi" w:eastAsia="Calibri" w:hAnsiTheme="minorHAnsi" w:cstheme="minorHAnsi"/>
          <w:sz w:val="22"/>
          <w:szCs w:val="22"/>
          <w:lang w:val="en-US"/>
        </w:rPr>
        <w:t xml:space="preserve">evelopment and presentation of the </w:t>
      </w:r>
      <w:r w:rsidR="005E0C57" w:rsidRPr="00925B91">
        <w:rPr>
          <w:rFonts w:asciiTheme="minorHAnsi" w:eastAsia="Calibri" w:hAnsiTheme="minorHAnsi" w:cstheme="minorHAnsi"/>
          <w:sz w:val="22"/>
          <w:szCs w:val="22"/>
          <w:lang w:val="en-US"/>
        </w:rPr>
        <w:t xml:space="preserve">Mexico’s </w:t>
      </w:r>
      <w:r w:rsidR="003E3F43">
        <w:rPr>
          <w:rFonts w:asciiTheme="minorHAnsi" w:eastAsia="MS Mincho" w:hAnsiTheme="minorHAnsi" w:cstheme="minorHAnsi"/>
          <w:sz w:val="22"/>
          <w:szCs w:val="22"/>
          <w:lang w:val="en-US"/>
        </w:rPr>
        <w:t>Critical pathway for compliance of the mitigation commitments under the Paris Agreement</w:t>
      </w:r>
      <w:r w:rsidR="00664E47" w:rsidRPr="00925B91">
        <w:rPr>
          <w:rFonts w:asciiTheme="minorHAnsi" w:eastAsia="Calibri" w:hAnsiTheme="minorHAnsi" w:cstheme="minorHAnsi"/>
          <w:sz w:val="22"/>
          <w:szCs w:val="22"/>
          <w:lang w:val="en-US"/>
        </w:rPr>
        <w:t xml:space="preserve">. </w:t>
      </w:r>
      <w:proofErr w:type="spellStart"/>
      <w:r w:rsidR="005E0C57" w:rsidRPr="00925B91">
        <w:rPr>
          <w:rFonts w:asciiTheme="minorHAnsi" w:eastAsia="Calibri" w:hAnsiTheme="minorHAnsi" w:cstheme="minorHAnsi"/>
          <w:sz w:val="22"/>
          <w:szCs w:val="22"/>
          <w:lang w:val="en-US"/>
        </w:rPr>
        <w:t>He/She</w:t>
      </w:r>
      <w:proofErr w:type="spellEnd"/>
      <w:r w:rsidR="005E0C57" w:rsidRPr="00925B91">
        <w:rPr>
          <w:rFonts w:asciiTheme="minorHAnsi" w:eastAsia="Calibri" w:hAnsiTheme="minorHAnsi" w:cstheme="minorHAnsi"/>
          <w:sz w:val="22"/>
          <w:szCs w:val="22"/>
          <w:lang w:val="en-US"/>
        </w:rPr>
        <w:t xml:space="preserve"> shall work under the direct supervision </w:t>
      </w:r>
      <w:r w:rsidR="00D60AEB" w:rsidRPr="00925B91">
        <w:rPr>
          <w:rFonts w:asciiTheme="minorHAnsi" w:eastAsia="Calibri" w:hAnsiTheme="minorHAnsi" w:cstheme="minorHAnsi"/>
          <w:sz w:val="22"/>
          <w:szCs w:val="22"/>
          <w:lang w:val="en-US"/>
        </w:rPr>
        <w:t xml:space="preserve">of the Climate policy expert, the Mitigation </w:t>
      </w:r>
      <w:r w:rsidR="004574CE" w:rsidRPr="00925B91">
        <w:rPr>
          <w:rFonts w:asciiTheme="minorHAnsi" w:eastAsia="Calibri" w:hAnsiTheme="minorHAnsi" w:cstheme="minorHAnsi"/>
          <w:sz w:val="22"/>
          <w:szCs w:val="22"/>
          <w:lang w:val="en-US"/>
        </w:rPr>
        <w:t xml:space="preserve">and </w:t>
      </w:r>
      <w:r w:rsidR="00D60AEB" w:rsidRPr="00925B91">
        <w:rPr>
          <w:rFonts w:asciiTheme="minorHAnsi" w:eastAsia="Calibri" w:hAnsiTheme="minorHAnsi" w:cstheme="minorHAnsi"/>
          <w:sz w:val="22"/>
          <w:szCs w:val="22"/>
          <w:lang w:val="en-US"/>
        </w:rPr>
        <w:t xml:space="preserve">synergies expert and the Data managements and compilation support. </w:t>
      </w:r>
    </w:p>
    <w:p w14:paraId="0785B02E" w14:textId="6A0C05AC" w:rsidR="00C2772B" w:rsidRPr="00925B91" w:rsidRDefault="00F279D3" w:rsidP="00422C3B">
      <w:pPr>
        <w:spacing w:before="120" w:after="120"/>
        <w:ind w:left="-76"/>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 </w:t>
      </w:r>
      <w:proofErr w:type="gramStart"/>
      <w:r>
        <w:rPr>
          <w:rFonts w:asciiTheme="minorHAnsi" w:eastAsia="Calibri" w:hAnsiTheme="minorHAnsi" w:cstheme="minorHAnsi"/>
          <w:sz w:val="22"/>
          <w:szCs w:val="22"/>
          <w:lang w:val="en-US"/>
        </w:rPr>
        <w:t>Provide s</w:t>
      </w:r>
      <w:r w:rsidRPr="00F279D3">
        <w:rPr>
          <w:rFonts w:asciiTheme="minorHAnsi" w:eastAsia="Calibri" w:hAnsiTheme="minorHAnsi" w:cstheme="minorHAnsi"/>
          <w:sz w:val="22"/>
          <w:szCs w:val="22"/>
          <w:lang w:val="en-US"/>
        </w:rPr>
        <w:t xml:space="preserve">upport to SEMARNAT and senior experts of ICAT team in the conformation of a </w:t>
      </w:r>
      <w:r w:rsidR="003E3F43">
        <w:rPr>
          <w:rFonts w:asciiTheme="minorHAnsi" w:eastAsia="MS Mincho" w:hAnsiTheme="minorHAnsi" w:cstheme="minorHAnsi"/>
          <w:sz w:val="22"/>
          <w:szCs w:val="22"/>
          <w:lang w:val="en-US"/>
        </w:rPr>
        <w:t>Critical pathway for compliance of the mitigation commitments under the Paris Agreement</w:t>
      </w:r>
      <w:r w:rsidRPr="00F279D3">
        <w:rPr>
          <w:rFonts w:asciiTheme="minorHAnsi" w:eastAsia="Calibri" w:hAnsiTheme="minorHAnsi" w:cstheme="minorHAnsi"/>
          <w:sz w:val="22"/>
          <w:szCs w:val="22"/>
          <w:lang w:val="en-US"/>
        </w:rPr>
        <w:t xml:space="preserve">, as a </w:t>
      </w:r>
      <w:r w:rsidR="00FD038C">
        <w:rPr>
          <w:rFonts w:asciiTheme="minorHAnsi" w:eastAsia="Calibri" w:hAnsiTheme="minorHAnsi" w:cstheme="minorHAnsi"/>
          <w:sz w:val="22"/>
          <w:szCs w:val="22"/>
          <w:lang w:val="en-US"/>
        </w:rPr>
        <w:t>junior</w:t>
      </w:r>
      <w:r w:rsidRPr="00F279D3">
        <w:rPr>
          <w:rFonts w:asciiTheme="minorHAnsi" w:eastAsia="Calibri" w:hAnsiTheme="minorHAnsi" w:cstheme="minorHAnsi"/>
          <w:sz w:val="22"/>
          <w:szCs w:val="22"/>
          <w:lang w:val="en-US"/>
        </w:rPr>
        <w:t xml:space="preserve"> analyst including collecting and analyzing data and later reporting on the findings revealed by such data, for each of the 8 sectors established at the </w:t>
      </w:r>
      <w:r w:rsidR="003E3F43">
        <w:rPr>
          <w:rFonts w:asciiTheme="minorHAnsi" w:eastAsia="Calibri" w:hAnsiTheme="minorHAnsi" w:cstheme="minorHAnsi"/>
          <w:sz w:val="22"/>
          <w:szCs w:val="22"/>
          <w:lang w:val="en-US"/>
        </w:rPr>
        <w:t>LGCC</w:t>
      </w:r>
      <w:r w:rsidR="003E3F43" w:rsidRPr="00F279D3">
        <w:rPr>
          <w:rFonts w:asciiTheme="minorHAnsi" w:eastAsia="Calibri" w:hAnsiTheme="minorHAnsi" w:cstheme="minorHAnsi"/>
          <w:sz w:val="22"/>
          <w:szCs w:val="22"/>
          <w:lang w:val="en-US"/>
        </w:rPr>
        <w:t xml:space="preserve"> </w:t>
      </w:r>
      <w:r w:rsidRPr="00F279D3">
        <w:rPr>
          <w:rFonts w:asciiTheme="minorHAnsi" w:eastAsia="Calibri" w:hAnsiTheme="minorHAnsi" w:cstheme="minorHAnsi"/>
          <w:sz w:val="22"/>
          <w:szCs w:val="22"/>
          <w:lang w:val="en-US"/>
        </w:rPr>
        <w:t>to develop and present its best roadmap of implementation.</w:t>
      </w:r>
      <w:proofErr w:type="gramEnd"/>
    </w:p>
    <w:p w14:paraId="61D68856" w14:textId="77777777" w:rsidR="000C355D" w:rsidRPr="00925B91" w:rsidRDefault="000C355D" w:rsidP="000C355D">
      <w:pPr>
        <w:pStyle w:val="ListParagraph"/>
        <w:spacing w:before="120" w:after="120"/>
        <w:ind w:left="284"/>
        <w:jc w:val="both"/>
        <w:rPr>
          <w:rFonts w:asciiTheme="minorHAnsi" w:eastAsia="Calibri" w:hAnsiTheme="minorHAnsi" w:cstheme="minorHAnsi"/>
          <w:b/>
          <w:sz w:val="22"/>
          <w:szCs w:val="22"/>
          <w:lang w:val="en-US"/>
        </w:rPr>
      </w:pPr>
    </w:p>
    <w:p w14:paraId="61EF69D5" w14:textId="77777777" w:rsidR="006818EA" w:rsidRPr="00925B91" w:rsidRDefault="0027458C" w:rsidP="00A85C56">
      <w:pPr>
        <w:pStyle w:val="ListParagraph"/>
        <w:numPr>
          <w:ilvl w:val="0"/>
          <w:numId w:val="1"/>
        </w:numPr>
        <w:spacing w:before="120" w:after="120"/>
        <w:ind w:left="284"/>
        <w:jc w:val="both"/>
        <w:rPr>
          <w:rFonts w:asciiTheme="minorHAnsi" w:eastAsia="Calibri" w:hAnsiTheme="minorHAnsi" w:cstheme="minorHAnsi"/>
          <w:b/>
          <w:sz w:val="22"/>
          <w:szCs w:val="22"/>
          <w:lang w:val="en-US"/>
        </w:rPr>
      </w:pPr>
      <w:r w:rsidRPr="00925B91">
        <w:rPr>
          <w:rFonts w:asciiTheme="minorHAnsi" w:eastAsia="Calibri" w:hAnsiTheme="minorHAnsi" w:cstheme="minorHAnsi"/>
          <w:b/>
          <w:sz w:val="22"/>
          <w:szCs w:val="22"/>
          <w:lang w:val="en-US"/>
        </w:rPr>
        <w:t>Main activities and responsibilities</w:t>
      </w:r>
    </w:p>
    <w:p w14:paraId="38BBFBFA" w14:textId="4DDCF755" w:rsidR="0027458C" w:rsidRPr="00925B91" w:rsidRDefault="008B2422" w:rsidP="00A85C56">
      <w:p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The local consultant </w:t>
      </w:r>
      <w:r w:rsidR="009E3F37" w:rsidRPr="00925B91">
        <w:rPr>
          <w:rFonts w:asciiTheme="minorHAnsi" w:eastAsia="Calibri" w:hAnsiTheme="minorHAnsi" w:cstheme="minorHAnsi"/>
          <w:sz w:val="22"/>
          <w:szCs w:val="22"/>
          <w:lang w:val="en-US"/>
        </w:rPr>
        <w:t xml:space="preserve">is expected to collaborate </w:t>
      </w:r>
      <w:r w:rsidR="00FD038C">
        <w:rPr>
          <w:rFonts w:asciiTheme="minorHAnsi" w:eastAsia="Calibri" w:hAnsiTheme="minorHAnsi" w:cstheme="minorHAnsi"/>
          <w:sz w:val="22"/>
          <w:szCs w:val="22"/>
          <w:lang w:val="en-US"/>
        </w:rPr>
        <w:t>by supporting</w:t>
      </w:r>
      <w:r w:rsidR="00F57B65" w:rsidRPr="00925B91">
        <w:rPr>
          <w:rFonts w:asciiTheme="minorHAnsi" w:eastAsia="Calibri" w:hAnsiTheme="minorHAnsi" w:cstheme="minorHAnsi"/>
          <w:sz w:val="22"/>
          <w:szCs w:val="22"/>
          <w:lang w:val="en-US"/>
        </w:rPr>
        <w:t xml:space="preserve"> </w:t>
      </w:r>
      <w:r w:rsidR="00FD038C">
        <w:rPr>
          <w:rFonts w:asciiTheme="minorHAnsi" w:eastAsia="Calibri" w:hAnsiTheme="minorHAnsi" w:cstheme="minorHAnsi"/>
          <w:sz w:val="22"/>
          <w:szCs w:val="22"/>
          <w:lang w:val="en-US"/>
        </w:rPr>
        <w:t xml:space="preserve">the </w:t>
      </w:r>
      <w:r w:rsidR="00F57B65" w:rsidRPr="00925B91">
        <w:rPr>
          <w:rFonts w:asciiTheme="minorHAnsi" w:eastAsia="Calibri" w:hAnsiTheme="minorHAnsi" w:cstheme="minorHAnsi"/>
          <w:sz w:val="22"/>
          <w:szCs w:val="22"/>
          <w:lang w:val="en-US"/>
        </w:rPr>
        <w:t>develop</w:t>
      </w:r>
      <w:r w:rsidR="00FD038C">
        <w:rPr>
          <w:rFonts w:asciiTheme="minorHAnsi" w:eastAsia="Calibri" w:hAnsiTheme="minorHAnsi" w:cstheme="minorHAnsi"/>
          <w:sz w:val="22"/>
          <w:szCs w:val="22"/>
          <w:lang w:val="en-US"/>
        </w:rPr>
        <w:t>ment</w:t>
      </w:r>
      <w:r w:rsidR="00F57B65" w:rsidRPr="00925B91">
        <w:rPr>
          <w:rFonts w:asciiTheme="minorHAnsi" w:eastAsia="Calibri" w:hAnsiTheme="minorHAnsi" w:cstheme="minorHAnsi"/>
          <w:sz w:val="22"/>
          <w:szCs w:val="22"/>
          <w:lang w:val="en-US"/>
        </w:rPr>
        <w:t xml:space="preserve"> of </w:t>
      </w:r>
      <w:r w:rsidR="00A46836" w:rsidRPr="00925B91">
        <w:rPr>
          <w:rFonts w:asciiTheme="minorHAnsi" w:eastAsia="Calibri" w:hAnsiTheme="minorHAnsi" w:cstheme="minorHAnsi"/>
          <w:sz w:val="22"/>
          <w:szCs w:val="22"/>
          <w:lang w:val="en-US"/>
        </w:rPr>
        <w:t>the activities and products related to the Outcome No.1</w:t>
      </w:r>
      <w:r w:rsidR="009E3F37" w:rsidRPr="00925B91">
        <w:rPr>
          <w:rFonts w:asciiTheme="minorHAnsi" w:eastAsia="Calibri" w:hAnsiTheme="minorHAnsi" w:cstheme="minorHAnsi"/>
          <w:sz w:val="22"/>
          <w:szCs w:val="22"/>
          <w:lang w:val="en-US"/>
        </w:rPr>
        <w:t xml:space="preserve"> </w:t>
      </w:r>
      <w:r w:rsidR="00A46836" w:rsidRPr="00925B91">
        <w:rPr>
          <w:rFonts w:asciiTheme="minorHAnsi" w:eastAsia="Calibri" w:hAnsiTheme="minorHAnsi" w:cstheme="minorHAnsi"/>
          <w:sz w:val="22"/>
          <w:szCs w:val="22"/>
          <w:lang w:val="en-US"/>
        </w:rPr>
        <w:t xml:space="preserve">from ICAT </w:t>
      </w:r>
      <w:r w:rsidR="00E736EA" w:rsidRPr="00925B91">
        <w:rPr>
          <w:rFonts w:asciiTheme="minorHAnsi" w:eastAsia="Calibri" w:hAnsiTheme="minorHAnsi" w:cstheme="minorHAnsi"/>
          <w:sz w:val="22"/>
          <w:szCs w:val="22"/>
          <w:lang w:val="en-US"/>
        </w:rPr>
        <w:t xml:space="preserve">Mexico </w:t>
      </w:r>
      <w:r w:rsidR="00A46836" w:rsidRPr="00925B91">
        <w:rPr>
          <w:rFonts w:asciiTheme="minorHAnsi" w:eastAsia="Calibri" w:hAnsiTheme="minorHAnsi" w:cstheme="minorHAnsi"/>
          <w:sz w:val="22"/>
          <w:szCs w:val="22"/>
          <w:lang w:val="en-US"/>
        </w:rPr>
        <w:t xml:space="preserve">Project, </w:t>
      </w:r>
      <w:r w:rsidR="00FD038C">
        <w:rPr>
          <w:rFonts w:asciiTheme="minorHAnsi" w:eastAsia="Calibri" w:hAnsiTheme="minorHAnsi" w:cstheme="minorHAnsi"/>
          <w:sz w:val="22"/>
          <w:szCs w:val="22"/>
          <w:lang w:val="en-US"/>
        </w:rPr>
        <w:t xml:space="preserve">as indicated below </w:t>
      </w:r>
      <w:r w:rsidR="00F57B65" w:rsidRPr="00925B91">
        <w:rPr>
          <w:rFonts w:asciiTheme="minorHAnsi" w:eastAsia="Calibri" w:hAnsiTheme="minorHAnsi" w:cstheme="minorHAnsi"/>
          <w:sz w:val="22"/>
          <w:szCs w:val="22"/>
          <w:lang w:val="en-US"/>
        </w:rPr>
        <w:t xml:space="preserve">including the compilation, checking and revising of support documents and other inputs. </w:t>
      </w:r>
      <w:r w:rsidR="00410DE5" w:rsidRPr="00925B91">
        <w:rPr>
          <w:rFonts w:asciiTheme="minorHAnsi" w:eastAsia="Calibri" w:hAnsiTheme="minorHAnsi" w:cstheme="minorHAnsi"/>
          <w:sz w:val="22"/>
          <w:szCs w:val="22"/>
          <w:lang w:val="en-US"/>
        </w:rPr>
        <w:t>In addition, the consultant will work as part of a f</w:t>
      </w:r>
      <w:r w:rsidR="00FD038C">
        <w:rPr>
          <w:rFonts w:asciiTheme="minorHAnsi" w:eastAsia="Calibri" w:hAnsiTheme="minorHAnsi" w:cstheme="minorHAnsi"/>
          <w:sz w:val="22"/>
          <w:szCs w:val="22"/>
          <w:lang w:val="en-US"/>
        </w:rPr>
        <w:t>our</w:t>
      </w:r>
      <w:r w:rsidR="00410DE5" w:rsidRPr="00925B91">
        <w:rPr>
          <w:rFonts w:asciiTheme="minorHAnsi" w:eastAsia="Calibri" w:hAnsiTheme="minorHAnsi" w:cstheme="minorHAnsi"/>
          <w:sz w:val="22"/>
          <w:szCs w:val="22"/>
          <w:lang w:val="en-US"/>
        </w:rPr>
        <w:t xml:space="preserve"> (</w:t>
      </w:r>
      <w:r w:rsidR="00D1208A" w:rsidRPr="00925B91">
        <w:rPr>
          <w:rFonts w:asciiTheme="minorHAnsi" w:eastAsia="Calibri" w:hAnsiTheme="minorHAnsi" w:cstheme="minorHAnsi"/>
          <w:sz w:val="22"/>
          <w:szCs w:val="22"/>
          <w:lang w:val="en-US"/>
        </w:rPr>
        <w:t>4</w:t>
      </w:r>
      <w:r w:rsidR="00410DE5" w:rsidRPr="00925B91">
        <w:rPr>
          <w:rFonts w:asciiTheme="minorHAnsi" w:eastAsia="Calibri" w:hAnsiTheme="minorHAnsi" w:cstheme="minorHAnsi"/>
          <w:sz w:val="22"/>
          <w:szCs w:val="22"/>
          <w:lang w:val="en-US"/>
        </w:rPr>
        <w:t xml:space="preserve">) local </w:t>
      </w:r>
      <w:r w:rsidR="00F00BB6" w:rsidRPr="00925B91">
        <w:rPr>
          <w:rFonts w:asciiTheme="minorHAnsi" w:eastAsia="Calibri" w:hAnsiTheme="minorHAnsi" w:cstheme="minorHAnsi"/>
          <w:sz w:val="22"/>
          <w:szCs w:val="22"/>
          <w:lang w:val="en-US"/>
        </w:rPr>
        <w:t>consultants’</w:t>
      </w:r>
      <w:r w:rsidR="00410DE5" w:rsidRPr="00925B91">
        <w:rPr>
          <w:rFonts w:asciiTheme="minorHAnsi" w:eastAsia="Calibri" w:hAnsiTheme="minorHAnsi" w:cstheme="minorHAnsi"/>
          <w:sz w:val="22"/>
          <w:szCs w:val="22"/>
          <w:lang w:val="en-US"/>
        </w:rPr>
        <w:t xml:space="preserve"> team </w:t>
      </w:r>
      <w:proofErr w:type="gramStart"/>
      <w:r w:rsidR="00410DE5" w:rsidRPr="00925B91">
        <w:rPr>
          <w:rFonts w:asciiTheme="minorHAnsi" w:eastAsia="Calibri" w:hAnsiTheme="minorHAnsi" w:cstheme="minorHAnsi"/>
          <w:sz w:val="22"/>
          <w:szCs w:val="22"/>
          <w:lang w:val="en-US"/>
        </w:rPr>
        <w:t xml:space="preserve">and </w:t>
      </w:r>
      <w:r w:rsidR="00FD038C" w:rsidRPr="00FD038C">
        <w:rPr>
          <w:rFonts w:asciiTheme="minorHAnsi" w:eastAsia="Calibri" w:hAnsiTheme="minorHAnsi" w:cstheme="minorHAnsi"/>
          <w:sz w:val="22"/>
          <w:szCs w:val="22"/>
          <w:lang w:val="en-US"/>
        </w:rPr>
        <w:t xml:space="preserve"> will</w:t>
      </w:r>
      <w:proofErr w:type="gramEnd"/>
      <w:r w:rsidR="00FD038C" w:rsidRPr="00FD038C">
        <w:rPr>
          <w:rFonts w:asciiTheme="minorHAnsi" w:eastAsia="Calibri" w:hAnsiTheme="minorHAnsi" w:cstheme="minorHAnsi"/>
          <w:sz w:val="22"/>
          <w:szCs w:val="22"/>
          <w:lang w:val="en-US"/>
        </w:rPr>
        <w:t xml:space="preserve"> support activities to comply with other tasks as needed.</w:t>
      </w:r>
    </w:p>
    <w:p w14:paraId="53369A11" w14:textId="77777777" w:rsidR="00C013EB" w:rsidRPr="00925B91" w:rsidRDefault="00C013EB" w:rsidP="00A85C56">
      <w:pPr>
        <w:spacing w:before="120" w:after="120"/>
        <w:jc w:val="both"/>
        <w:rPr>
          <w:rFonts w:asciiTheme="minorHAnsi" w:eastAsia="Calibri" w:hAnsiTheme="minorHAnsi" w:cstheme="minorHAnsi"/>
          <w:sz w:val="22"/>
          <w:szCs w:val="22"/>
          <w:lang w:val="en-US"/>
        </w:rPr>
      </w:pPr>
    </w:p>
    <w:p w14:paraId="47A5F598" w14:textId="0DEB5872" w:rsidR="00CC47B6" w:rsidRPr="00925B91" w:rsidRDefault="00406540" w:rsidP="00AC3722">
      <w:pPr>
        <w:pStyle w:val="ListParagraph"/>
        <w:spacing w:before="120" w:after="120"/>
        <w:ind w:left="144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The </w:t>
      </w:r>
      <w:r w:rsidR="00D1208A" w:rsidRPr="00925B91">
        <w:rPr>
          <w:rFonts w:asciiTheme="minorHAnsi" w:eastAsia="Calibri" w:hAnsiTheme="minorHAnsi" w:cstheme="minorHAnsi"/>
          <w:sz w:val="22"/>
          <w:szCs w:val="22"/>
          <w:lang w:val="en-US"/>
        </w:rPr>
        <w:t xml:space="preserve">Analyst </w:t>
      </w:r>
      <w:r w:rsidRPr="00925B91">
        <w:rPr>
          <w:rFonts w:asciiTheme="minorHAnsi" w:eastAsia="Calibri" w:hAnsiTheme="minorHAnsi" w:cstheme="minorHAnsi"/>
          <w:sz w:val="22"/>
          <w:szCs w:val="22"/>
          <w:lang w:val="en-US"/>
        </w:rPr>
        <w:t>consultant would be responsible for the following duties:</w:t>
      </w:r>
    </w:p>
    <w:p w14:paraId="09577A04" w14:textId="77777777" w:rsidR="00FD038C" w:rsidRPr="00BD5EB6" w:rsidRDefault="00FD038C" w:rsidP="00FD038C">
      <w:pPr>
        <w:spacing w:before="120" w:after="120"/>
        <w:jc w:val="both"/>
        <w:rPr>
          <w:rFonts w:asciiTheme="minorHAnsi" w:eastAsia="Calibri" w:hAnsiTheme="minorHAnsi" w:cstheme="minorHAnsi"/>
          <w:sz w:val="22"/>
          <w:szCs w:val="22"/>
          <w:lang w:val="en-US"/>
        </w:rPr>
      </w:pPr>
    </w:p>
    <w:tbl>
      <w:tblPr>
        <w:tblStyle w:val="TableGrid1"/>
        <w:tblpPr w:leftFromText="181" w:rightFromText="181" w:vertAnchor="text" w:horzAnchor="margin" w:tblpY="156"/>
        <w:tblW w:w="8642" w:type="dxa"/>
        <w:tblLayout w:type="fixed"/>
        <w:tblLook w:val="04A0" w:firstRow="1" w:lastRow="0" w:firstColumn="1" w:lastColumn="0" w:noHBand="0" w:noVBand="1"/>
      </w:tblPr>
      <w:tblGrid>
        <w:gridCol w:w="2405"/>
        <w:gridCol w:w="4253"/>
        <w:gridCol w:w="1984"/>
      </w:tblGrid>
      <w:tr w:rsidR="00FD038C" w:rsidRPr="00BD5EB6" w14:paraId="0E4EA80F" w14:textId="77777777" w:rsidTr="00295BA0">
        <w:trPr>
          <w:trHeight w:val="233"/>
        </w:trPr>
        <w:tc>
          <w:tcPr>
            <w:tcW w:w="2405" w:type="dxa"/>
            <w:tcBorders>
              <w:top w:val="single" w:sz="4" w:space="0" w:color="auto"/>
              <w:left w:val="single" w:sz="4" w:space="0" w:color="auto"/>
              <w:bottom w:val="single" w:sz="4" w:space="0" w:color="auto"/>
              <w:right w:val="single" w:sz="4" w:space="0" w:color="auto"/>
            </w:tcBorders>
            <w:vAlign w:val="center"/>
            <w:hideMark/>
          </w:tcPr>
          <w:p w14:paraId="7BF0AB83" w14:textId="77777777" w:rsidR="00FD038C" w:rsidRPr="00BD5EB6" w:rsidRDefault="00FD038C" w:rsidP="0089299B">
            <w:pPr>
              <w:spacing w:before="100" w:beforeAutospacing="1" w:after="120"/>
              <w:ind w:left="22" w:right="177"/>
              <w:contextualSpacing/>
              <w:jc w:val="center"/>
              <w:rPr>
                <w:rFonts w:asciiTheme="minorHAnsi" w:hAnsiTheme="minorHAnsi" w:cstheme="minorHAnsi"/>
                <w:b/>
                <w:bCs/>
                <w:sz w:val="20"/>
                <w:szCs w:val="20"/>
                <w:lang w:val="en-US"/>
              </w:rPr>
            </w:pPr>
            <w:r w:rsidRPr="00BD5EB6">
              <w:rPr>
                <w:rFonts w:asciiTheme="minorHAnsi" w:hAnsiTheme="minorHAnsi" w:cstheme="minorHAnsi"/>
                <w:b/>
                <w:bCs/>
                <w:sz w:val="20"/>
                <w:szCs w:val="20"/>
                <w:lang w:val="en-US"/>
              </w:rPr>
              <w:t>Expected Outputs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F0CC68" w14:textId="77777777" w:rsidR="00FD038C" w:rsidRPr="00BD5EB6" w:rsidRDefault="00FD038C" w:rsidP="0089299B">
            <w:pPr>
              <w:spacing w:before="100" w:beforeAutospacing="1" w:after="120"/>
              <w:ind w:left="720" w:hanging="360"/>
              <w:contextualSpacing/>
              <w:jc w:val="center"/>
              <w:rPr>
                <w:rFonts w:asciiTheme="minorHAnsi" w:hAnsiTheme="minorHAnsi" w:cstheme="minorHAnsi"/>
                <w:b/>
                <w:bCs/>
                <w:sz w:val="20"/>
                <w:szCs w:val="20"/>
                <w:lang w:val="en-US"/>
              </w:rPr>
            </w:pPr>
            <w:r w:rsidRPr="00BD5EB6">
              <w:rPr>
                <w:rFonts w:asciiTheme="minorHAnsi" w:hAnsiTheme="minorHAnsi" w:cstheme="minorHAnsi"/>
                <w:b/>
                <w:bCs/>
                <w:sz w:val="20"/>
                <w:szCs w:val="20"/>
                <w:lang w:val="en-US"/>
              </w:rPr>
              <w:t>Activities to lead</w:t>
            </w:r>
          </w:p>
        </w:tc>
        <w:tc>
          <w:tcPr>
            <w:tcW w:w="1984" w:type="dxa"/>
            <w:tcBorders>
              <w:top w:val="single" w:sz="4" w:space="0" w:color="auto"/>
              <w:left w:val="single" w:sz="4" w:space="0" w:color="auto"/>
              <w:bottom w:val="single" w:sz="4" w:space="0" w:color="auto"/>
              <w:right w:val="single" w:sz="4" w:space="0" w:color="auto"/>
            </w:tcBorders>
          </w:tcPr>
          <w:p w14:paraId="62DE8985" w14:textId="1BC5B653" w:rsidR="00FD038C" w:rsidRPr="00BD5EB6" w:rsidRDefault="00FD038C" w:rsidP="0089299B">
            <w:pPr>
              <w:spacing w:before="100" w:beforeAutospacing="1" w:after="120"/>
              <w:ind w:left="720" w:hanging="360"/>
              <w:contextualSpacing/>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Role of Local Consultant #4</w:t>
            </w:r>
          </w:p>
        </w:tc>
      </w:tr>
      <w:tr w:rsidR="00FD038C" w:rsidRPr="00BD5EB6" w14:paraId="2DCEA9D3" w14:textId="77777777" w:rsidTr="00295BA0">
        <w:trPr>
          <w:trHeight w:val="983"/>
        </w:trPr>
        <w:tc>
          <w:tcPr>
            <w:tcW w:w="2405" w:type="dxa"/>
            <w:vMerge w:val="restart"/>
            <w:tcBorders>
              <w:top w:val="single" w:sz="4" w:space="0" w:color="auto"/>
              <w:left w:val="single" w:sz="4" w:space="0" w:color="auto"/>
              <w:right w:val="single" w:sz="4" w:space="0" w:color="auto"/>
            </w:tcBorders>
            <w:vAlign w:val="center"/>
            <w:hideMark/>
          </w:tcPr>
          <w:p w14:paraId="7A91FAC6" w14:textId="181B289A"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r w:rsidRPr="00BD5EB6">
              <w:rPr>
                <w:rFonts w:asciiTheme="minorHAnsi" w:hAnsiTheme="minorHAnsi" w:cstheme="minorHAnsi"/>
                <w:b/>
                <w:bCs/>
                <w:sz w:val="20"/>
                <w:szCs w:val="20"/>
                <w:lang w:val="en-US"/>
              </w:rPr>
              <w:t>Output 1:</w:t>
            </w:r>
            <w:r w:rsidRPr="00BD5EB6">
              <w:rPr>
                <w:rFonts w:asciiTheme="minorHAnsi" w:hAnsiTheme="minorHAnsi" w:cstheme="minorHAnsi"/>
                <w:sz w:val="20"/>
                <w:szCs w:val="20"/>
                <w:lang w:val="en-US"/>
              </w:rPr>
              <w:t xml:space="preserve">   Support in the conformation of </w:t>
            </w:r>
            <w:proofErr w:type="gramStart"/>
            <w:r w:rsidRPr="00BD5EB6">
              <w:rPr>
                <w:rFonts w:asciiTheme="minorHAnsi" w:hAnsiTheme="minorHAnsi" w:cstheme="minorHAnsi"/>
                <w:sz w:val="20"/>
                <w:szCs w:val="20"/>
                <w:lang w:val="en-US"/>
              </w:rPr>
              <w:t xml:space="preserve">a </w:t>
            </w:r>
            <w:r w:rsidR="00B1153B">
              <w:rPr>
                <w:rFonts w:asciiTheme="minorHAnsi" w:eastAsia="MS Mincho" w:hAnsiTheme="minorHAnsi" w:cstheme="minorHAnsi"/>
                <w:lang w:val="en-US"/>
              </w:rPr>
              <w:t xml:space="preserve"> Critical</w:t>
            </w:r>
            <w:proofErr w:type="gramEnd"/>
            <w:r w:rsidR="00B1153B">
              <w:rPr>
                <w:rFonts w:asciiTheme="minorHAnsi" w:eastAsia="MS Mincho" w:hAnsiTheme="minorHAnsi" w:cstheme="minorHAnsi"/>
                <w:lang w:val="en-US"/>
              </w:rPr>
              <w:t xml:space="preserve"> pathway for compliance of the mitigation commitments under the Paris Agreement</w:t>
            </w:r>
            <w:r w:rsidR="00B1153B">
              <w:rPr>
                <w:rFonts w:asciiTheme="minorHAnsi" w:hAnsiTheme="minorHAnsi" w:cstheme="minorHAnsi"/>
                <w:sz w:val="20"/>
                <w:szCs w:val="20"/>
                <w:lang w:val="en-US"/>
              </w:rPr>
              <w:t xml:space="preserve">, </w:t>
            </w:r>
            <w:r w:rsidRPr="00BD5EB6">
              <w:rPr>
                <w:rFonts w:asciiTheme="minorHAnsi" w:hAnsiTheme="minorHAnsi" w:cstheme="minorHAnsi"/>
                <w:sz w:val="20"/>
                <w:szCs w:val="20"/>
                <w:lang w:val="en-US"/>
              </w:rPr>
              <w:t>for mitigation, notably in outlining a set of mitigation measures</w:t>
            </w:r>
            <w:r w:rsidRPr="00BD5EB6">
              <w:rPr>
                <w:rFonts w:asciiTheme="minorHAnsi" w:eastAsia="Calibri" w:hAnsiTheme="minorHAnsi" w:cstheme="minorHAnsi"/>
                <w:sz w:val="20"/>
                <w:szCs w:val="20"/>
                <w:lang w:val="en-US"/>
              </w:rPr>
              <w:t xml:space="preserve"> for each of the 8 sectors established at the </w:t>
            </w:r>
            <w:proofErr w:type="spellStart"/>
            <w:r w:rsidR="00B1153B">
              <w:rPr>
                <w:rFonts w:asciiTheme="minorHAnsi" w:eastAsia="Calibri" w:hAnsiTheme="minorHAnsi" w:cstheme="minorHAnsi"/>
                <w:sz w:val="20"/>
                <w:szCs w:val="20"/>
                <w:lang w:val="en-US"/>
              </w:rPr>
              <w:t>LGCC</w:t>
            </w:r>
            <w:r w:rsidRPr="00BD5EB6">
              <w:rPr>
                <w:rFonts w:asciiTheme="minorHAnsi" w:eastAsia="Calibri" w:hAnsiTheme="minorHAnsi" w:cstheme="minorHAnsi"/>
                <w:sz w:val="20"/>
                <w:szCs w:val="20"/>
                <w:lang w:val="en-US"/>
              </w:rPr>
              <w:t>and</w:t>
            </w:r>
            <w:proofErr w:type="spellEnd"/>
            <w:r w:rsidRPr="00BD5EB6">
              <w:rPr>
                <w:rFonts w:asciiTheme="minorHAnsi" w:eastAsia="Calibri" w:hAnsiTheme="minorHAnsi" w:cstheme="minorHAnsi"/>
                <w:sz w:val="20"/>
                <w:szCs w:val="20"/>
                <w:lang w:val="en-US"/>
              </w:rPr>
              <w:t xml:space="preserve"> defining accompanying MRV frameworks for an adequate tracking of these measures.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D4E6807" w14:textId="77777777"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GB"/>
              </w:rPr>
            </w:pPr>
            <w:r w:rsidRPr="00BD5EB6">
              <w:rPr>
                <w:rFonts w:asciiTheme="minorHAnsi" w:hAnsiTheme="minorHAnsi" w:cstheme="minorHAnsi"/>
                <w:sz w:val="20"/>
                <w:szCs w:val="20"/>
                <w:lang w:val="en-US"/>
              </w:rPr>
              <w:t>Preparation of a detailed work plan for the development of activities in accordance with the project's framework objective.</w:t>
            </w:r>
          </w:p>
        </w:tc>
        <w:tc>
          <w:tcPr>
            <w:tcW w:w="1984" w:type="dxa"/>
            <w:tcBorders>
              <w:top w:val="single" w:sz="4" w:space="0" w:color="auto"/>
              <w:left w:val="single" w:sz="4" w:space="0" w:color="auto"/>
              <w:bottom w:val="single" w:sz="4" w:space="0" w:color="auto"/>
              <w:right w:val="single" w:sz="4" w:space="0" w:color="auto"/>
            </w:tcBorders>
          </w:tcPr>
          <w:p w14:paraId="53F9B62C" w14:textId="77777777"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Supporting</w:t>
            </w:r>
          </w:p>
        </w:tc>
      </w:tr>
      <w:tr w:rsidR="00FD038C" w:rsidRPr="00BD5EB6" w14:paraId="49B98C00" w14:textId="77777777" w:rsidTr="00295BA0">
        <w:trPr>
          <w:trHeight w:val="983"/>
        </w:trPr>
        <w:tc>
          <w:tcPr>
            <w:tcW w:w="2405" w:type="dxa"/>
            <w:vMerge/>
            <w:tcBorders>
              <w:left w:val="single" w:sz="4" w:space="0" w:color="auto"/>
              <w:right w:val="single" w:sz="4" w:space="0" w:color="auto"/>
            </w:tcBorders>
            <w:vAlign w:val="center"/>
          </w:tcPr>
          <w:p w14:paraId="6C55D672"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3410C89A" w14:textId="77777777"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r w:rsidRPr="00BD5EB6">
              <w:rPr>
                <w:rFonts w:asciiTheme="minorHAnsi" w:hAnsiTheme="minorHAnsi" w:cstheme="minorHAnsi"/>
                <w:sz w:val="20"/>
                <w:szCs w:val="20"/>
                <w:lang w:val="en-US"/>
              </w:rPr>
              <w:t>Proposal for the socialization and integration of information on the road map with the academic, civil society and private sectors.</w:t>
            </w:r>
          </w:p>
        </w:tc>
        <w:tc>
          <w:tcPr>
            <w:tcW w:w="1984" w:type="dxa"/>
            <w:tcBorders>
              <w:top w:val="single" w:sz="4" w:space="0" w:color="auto"/>
              <w:left w:val="single" w:sz="4" w:space="0" w:color="auto"/>
              <w:bottom w:val="single" w:sz="4" w:space="0" w:color="auto"/>
              <w:right w:val="single" w:sz="4" w:space="0" w:color="auto"/>
            </w:tcBorders>
          </w:tcPr>
          <w:p w14:paraId="02EC9916" w14:textId="7452FDA6"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Suporting</w:t>
            </w:r>
            <w:proofErr w:type="spellEnd"/>
          </w:p>
        </w:tc>
      </w:tr>
      <w:tr w:rsidR="00FD038C" w:rsidRPr="00BD5EB6" w14:paraId="58079846" w14:textId="77777777" w:rsidTr="00295BA0">
        <w:trPr>
          <w:trHeight w:val="983"/>
        </w:trPr>
        <w:tc>
          <w:tcPr>
            <w:tcW w:w="2405" w:type="dxa"/>
            <w:vMerge/>
            <w:tcBorders>
              <w:left w:val="single" w:sz="4" w:space="0" w:color="auto"/>
              <w:right w:val="single" w:sz="4" w:space="0" w:color="auto"/>
            </w:tcBorders>
            <w:vAlign w:val="center"/>
          </w:tcPr>
          <w:p w14:paraId="6E3CBFE1"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2B9A1074" w14:textId="64F168AC"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proofErr w:type="gramStart"/>
            <w:r w:rsidRPr="00BD5EB6">
              <w:rPr>
                <w:rFonts w:asciiTheme="minorHAnsi" w:hAnsiTheme="minorHAnsi" w:cstheme="minorHAnsi"/>
                <w:sz w:val="20"/>
                <w:szCs w:val="20"/>
                <w:lang w:val="en-US"/>
              </w:rPr>
              <w:t xml:space="preserve">Support the analysis and systematization of existing information on mitigation policies and measures from the public sector at the national, sub-national level and from other key stakeholders such as the private sector, NGOs and academia submitted to be part of the </w:t>
            </w:r>
            <w:r w:rsidR="003E3F43">
              <w:rPr>
                <w:rFonts w:asciiTheme="minorHAnsi" w:eastAsia="MS Mincho" w:hAnsiTheme="minorHAnsi" w:cstheme="minorHAnsi"/>
                <w:lang w:val="en-US"/>
              </w:rPr>
              <w:t xml:space="preserve"> Critical pathway for compliance of the mitigation commitments under the Paris Agreement</w:t>
            </w:r>
            <w:r w:rsidRPr="00BD5EB6">
              <w:rPr>
                <w:rFonts w:asciiTheme="minorHAnsi" w:hAnsiTheme="minorHAnsi" w:cstheme="minorHAnsi"/>
                <w:sz w:val="20"/>
                <w:szCs w:val="20"/>
                <w:lang w:val="en-US"/>
              </w:rPr>
              <w:t>, including the definition and application of methodologies and tools for the systematization of such information.</w:t>
            </w:r>
            <w:proofErr w:type="gramEnd"/>
          </w:p>
        </w:tc>
        <w:tc>
          <w:tcPr>
            <w:tcW w:w="1984" w:type="dxa"/>
            <w:tcBorders>
              <w:top w:val="single" w:sz="4" w:space="0" w:color="auto"/>
              <w:left w:val="single" w:sz="4" w:space="0" w:color="auto"/>
              <w:bottom w:val="single" w:sz="4" w:space="0" w:color="auto"/>
              <w:right w:val="single" w:sz="4" w:space="0" w:color="auto"/>
            </w:tcBorders>
          </w:tcPr>
          <w:p w14:paraId="5075F367" w14:textId="4BA5122B"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Supporting</w:t>
            </w:r>
          </w:p>
        </w:tc>
      </w:tr>
      <w:tr w:rsidR="00FD038C" w:rsidRPr="00BD5EB6" w14:paraId="2805A711" w14:textId="77777777" w:rsidTr="00295BA0">
        <w:trPr>
          <w:trHeight w:val="983"/>
        </w:trPr>
        <w:tc>
          <w:tcPr>
            <w:tcW w:w="2405" w:type="dxa"/>
            <w:vMerge/>
            <w:tcBorders>
              <w:left w:val="single" w:sz="4" w:space="0" w:color="auto"/>
              <w:right w:val="single" w:sz="4" w:space="0" w:color="auto"/>
            </w:tcBorders>
            <w:vAlign w:val="center"/>
          </w:tcPr>
          <w:p w14:paraId="366997D0"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0BF1CD00" w14:textId="1C496853"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r w:rsidRPr="00BD5EB6">
              <w:rPr>
                <w:rFonts w:asciiTheme="minorHAnsi" w:hAnsiTheme="minorHAnsi" w:cstheme="minorHAnsi"/>
                <w:sz w:val="20"/>
                <w:szCs w:val="20"/>
                <w:lang w:val="en-US"/>
              </w:rPr>
              <w:t xml:space="preserve">Preparation of ancillary graphic materials aimed at supporting the presentation of </w:t>
            </w:r>
            <w:proofErr w:type="gramStart"/>
            <w:r w:rsidRPr="00BD5EB6">
              <w:rPr>
                <w:rFonts w:asciiTheme="minorHAnsi" w:hAnsiTheme="minorHAnsi" w:cstheme="minorHAnsi"/>
                <w:sz w:val="20"/>
                <w:szCs w:val="20"/>
                <w:lang w:val="en-US"/>
              </w:rPr>
              <w:t xml:space="preserve">the </w:t>
            </w:r>
            <w:r w:rsidR="003E3F43">
              <w:rPr>
                <w:rFonts w:asciiTheme="minorHAnsi" w:eastAsia="MS Mincho" w:hAnsiTheme="minorHAnsi" w:cstheme="minorHAnsi"/>
                <w:lang w:val="en-US"/>
              </w:rPr>
              <w:t xml:space="preserve"> Critical</w:t>
            </w:r>
            <w:proofErr w:type="gramEnd"/>
            <w:r w:rsidR="003E3F43">
              <w:rPr>
                <w:rFonts w:asciiTheme="minorHAnsi" w:eastAsia="MS Mincho" w:hAnsiTheme="minorHAnsi" w:cstheme="minorHAnsi"/>
                <w:lang w:val="en-US"/>
              </w:rPr>
              <w:t xml:space="preserve"> pathway for compliance of the mitigation commitments under the Paris Agreement</w:t>
            </w:r>
            <w:r w:rsidR="003E3F43">
              <w:rPr>
                <w:rFonts w:asciiTheme="minorHAnsi" w:hAnsiTheme="minorHAnsi" w:cstheme="minorHAnsi"/>
                <w:sz w:val="20"/>
                <w:szCs w:val="20"/>
                <w:lang w:val="en-US"/>
              </w:rPr>
              <w:t xml:space="preserve">, </w:t>
            </w:r>
            <w:r w:rsidRPr="00BD5EB6">
              <w:rPr>
                <w:rFonts w:asciiTheme="minorHAnsi" w:hAnsiTheme="minorHAnsi" w:cstheme="minorHAnsi"/>
                <w:sz w:val="20"/>
                <w:szCs w:val="20"/>
                <w:lang w:val="en-US"/>
              </w:rPr>
              <w:t>to different audiences during 2021 including graphs, maps, diagrams, presentations and conceptual charts to be used for dissemination purposes.</w:t>
            </w:r>
          </w:p>
        </w:tc>
        <w:tc>
          <w:tcPr>
            <w:tcW w:w="1984" w:type="dxa"/>
            <w:tcBorders>
              <w:top w:val="single" w:sz="4" w:space="0" w:color="auto"/>
              <w:left w:val="single" w:sz="4" w:space="0" w:color="auto"/>
              <w:bottom w:val="single" w:sz="4" w:space="0" w:color="auto"/>
              <w:right w:val="single" w:sz="4" w:space="0" w:color="auto"/>
            </w:tcBorders>
          </w:tcPr>
          <w:p w14:paraId="56522296" w14:textId="0F4CFD5F"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w:t>
            </w:r>
          </w:p>
        </w:tc>
      </w:tr>
      <w:tr w:rsidR="00FD038C" w:rsidRPr="00BD5EB6" w14:paraId="004A3A4E" w14:textId="77777777" w:rsidTr="00295BA0">
        <w:trPr>
          <w:trHeight w:val="983"/>
        </w:trPr>
        <w:tc>
          <w:tcPr>
            <w:tcW w:w="2405" w:type="dxa"/>
            <w:vMerge/>
            <w:tcBorders>
              <w:left w:val="single" w:sz="4" w:space="0" w:color="auto"/>
              <w:right w:val="single" w:sz="4" w:space="0" w:color="auto"/>
            </w:tcBorders>
            <w:vAlign w:val="center"/>
          </w:tcPr>
          <w:p w14:paraId="7BE6F118"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65BC0F37" w14:textId="77777777"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r w:rsidRPr="00BD5EB6">
              <w:rPr>
                <w:rFonts w:asciiTheme="minorHAnsi" w:hAnsiTheme="minorHAnsi" w:cstheme="minorHAnsi"/>
                <w:sz w:val="20"/>
                <w:szCs w:val="20"/>
                <w:lang w:val="en-GB"/>
              </w:rPr>
              <w:t>Compilation, systematization, review, and analysis of the information associated with the prioritized measures identified for every sector, using the existing information with the formats previously defined and approved by Semarnat, for every measure pre-filled or already validated, and including also the existing information resulting of the participation processes. This task includes the assessment of recommendations made on the roadmap process using the formats and templates prepared by the consultants. If it were deemed necessary, gaps of information associated to the prioritized measures should be filled by the consultants as a part of the project.</w:t>
            </w:r>
          </w:p>
        </w:tc>
        <w:tc>
          <w:tcPr>
            <w:tcW w:w="1984" w:type="dxa"/>
            <w:tcBorders>
              <w:top w:val="single" w:sz="4" w:space="0" w:color="auto"/>
              <w:left w:val="single" w:sz="4" w:space="0" w:color="auto"/>
              <w:bottom w:val="single" w:sz="4" w:space="0" w:color="auto"/>
              <w:right w:val="single" w:sz="4" w:space="0" w:color="auto"/>
            </w:tcBorders>
          </w:tcPr>
          <w:p w14:paraId="7AA0A797" w14:textId="77777777"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Supporting</w:t>
            </w:r>
          </w:p>
        </w:tc>
      </w:tr>
      <w:tr w:rsidR="00FD038C" w:rsidRPr="00BD5EB6" w14:paraId="18CF9512" w14:textId="77777777" w:rsidTr="00295BA0">
        <w:trPr>
          <w:trHeight w:val="983"/>
        </w:trPr>
        <w:tc>
          <w:tcPr>
            <w:tcW w:w="2405" w:type="dxa"/>
            <w:vMerge/>
            <w:tcBorders>
              <w:left w:val="single" w:sz="4" w:space="0" w:color="auto"/>
              <w:right w:val="single" w:sz="4" w:space="0" w:color="auto"/>
            </w:tcBorders>
            <w:vAlign w:val="center"/>
          </w:tcPr>
          <w:p w14:paraId="3AAB6BEC"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5D580F4E" w14:textId="473409D3"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r w:rsidRPr="00BD5EB6">
              <w:rPr>
                <w:rFonts w:asciiTheme="minorHAnsi" w:hAnsiTheme="minorHAnsi" w:cstheme="minorHAnsi"/>
                <w:sz w:val="20"/>
                <w:szCs w:val="20"/>
                <w:lang w:val="en-US"/>
              </w:rPr>
              <w:t xml:space="preserve">Proposition of an MRV system and reporting tools for tracking the prioritized measures identified as a part of the </w:t>
            </w:r>
            <w:r w:rsidR="003E3F43">
              <w:rPr>
                <w:rFonts w:asciiTheme="minorHAnsi" w:eastAsia="MS Mincho" w:hAnsiTheme="minorHAnsi" w:cstheme="minorHAnsi"/>
                <w:lang w:val="en-US"/>
              </w:rPr>
              <w:t xml:space="preserve"> Critical pathway for compliance of the mitigation commitments under the Paris </w:t>
            </w:r>
            <w:proofErr w:type="spellStart"/>
            <w:r w:rsidR="003E3F43">
              <w:rPr>
                <w:rFonts w:asciiTheme="minorHAnsi" w:eastAsia="MS Mincho" w:hAnsiTheme="minorHAnsi" w:cstheme="minorHAnsi"/>
                <w:lang w:val="en-US"/>
              </w:rPr>
              <w:t>Agreement</w:t>
            </w:r>
            <w:r w:rsidR="003E3F43">
              <w:rPr>
                <w:rFonts w:asciiTheme="minorHAnsi" w:hAnsiTheme="minorHAnsi" w:cstheme="minorHAnsi"/>
                <w:sz w:val="20"/>
                <w:szCs w:val="20"/>
                <w:lang w:val="en-US"/>
              </w:rPr>
              <w:t>construction</w:t>
            </w:r>
            <w:proofErr w:type="spellEnd"/>
            <w:r w:rsidR="003E3F43">
              <w:rPr>
                <w:rFonts w:asciiTheme="minorHAnsi" w:hAnsiTheme="minorHAnsi" w:cstheme="minorHAnsi"/>
                <w:sz w:val="20"/>
                <w:szCs w:val="20"/>
                <w:lang w:val="en-US"/>
              </w:rPr>
              <w:t xml:space="preserve"> </w:t>
            </w:r>
            <w:r w:rsidRPr="00BD5EB6">
              <w:rPr>
                <w:rFonts w:asciiTheme="minorHAnsi" w:hAnsiTheme="minorHAnsi" w:cstheme="minorHAnsi"/>
                <w:sz w:val="20"/>
                <w:szCs w:val="20"/>
                <w:lang w:val="en-US"/>
              </w:rPr>
              <w:t>process.</w:t>
            </w:r>
          </w:p>
        </w:tc>
        <w:tc>
          <w:tcPr>
            <w:tcW w:w="1984" w:type="dxa"/>
            <w:tcBorders>
              <w:top w:val="single" w:sz="4" w:space="0" w:color="auto"/>
              <w:left w:val="single" w:sz="4" w:space="0" w:color="auto"/>
              <w:bottom w:val="single" w:sz="4" w:space="0" w:color="auto"/>
              <w:right w:val="single" w:sz="4" w:space="0" w:color="auto"/>
            </w:tcBorders>
          </w:tcPr>
          <w:p w14:paraId="16501202" w14:textId="609D4B26"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w:t>
            </w:r>
          </w:p>
        </w:tc>
      </w:tr>
      <w:tr w:rsidR="00FD038C" w:rsidRPr="00BD5EB6" w14:paraId="63FECB65" w14:textId="77777777" w:rsidTr="00295BA0">
        <w:trPr>
          <w:trHeight w:val="983"/>
        </w:trPr>
        <w:tc>
          <w:tcPr>
            <w:tcW w:w="2405" w:type="dxa"/>
            <w:vMerge/>
            <w:tcBorders>
              <w:left w:val="single" w:sz="4" w:space="0" w:color="auto"/>
              <w:right w:val="single" w:sz="4" w:space="0" w:color="auto"/>
            </w:tcBorders>
            <w:vAlign w:val="center"/>
          </w:tcPr>
          <w:p w14:paraId="6E968BCF"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207E6DDA" w14:textId="3D1BDF76"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proofErr w:type="gramStart"/>
            <w:r w:rsidRPr="00BD5EB6">
              <w:rPr>
                <w:rFonts w:asciiTheme="minorHAnsi" w:hAnsiTheme="minorHAnsi" w:cstheme="minorHAnsi"/>
                <w:sz w:val="20"/>
                <w:szCs w:val="20"/>
                <w:lang w:val="en-US"/>
              </w:rPr>
              <w:t xml:space="preserve">Technical and logistical support to the overall plan of implementation of the </w:t>
            </w:r>
            <w:r w:rsidR="003E3F43">
              <w:rPr>
                <w:rFonts w:asciiTheme="minorHAnsi" w:eastAsia="MS Mincho" w:hAnsiTheme="minorHAnsi" w:cstheme="minorHAnsi"/>
                <w:lang w:val="en-US"/>
              </w:rPr>
              <w:t xml:space="preserve"> Critical pathway for compliance of the mitigation commitments under the Paris Agreement</w:t>
            </w:r>
            <w:r w:rsidR="003E3F43">
              <w:rPr>
                <w:rFonts w:asciiTheme="minorHAnsi" w:hAnsiTheme="minorHAnsi" w:cstheme="minorHAnsi"/>
                <w:sz w:val="20"/>
                <w:szCs w:val="20"/>
                <w:lang w:val="en-US"/>
              </w:rPr>
              <w:t xml:space="preserve">, </w:t>
            </w:r>
            <w:r w:rsidRPr="00BD5EB6">
              <w:rPr>
                <w:rFonts w:asciiTheme="minorHAnsi" w:hAnsiTheme="minorHAnsi" w:cstheme="minorHAnsi"/>
                <w:sz w:val="20"/>
                <w:szCs w:val="20"/>
                <w:lang w:val="en-US"/>
              </w:rPr>
              <w:t xml:space="preserve">devised by the DGPCC including: periodic support to the DGPCC to organize, participate and document meetings, with the key actors that participate in the process within the framework of the CICC and the National Climate Change System, with the aim of socializing the results and integrating the recommendations for the </w:t>
            </w:r>
            <w:r w:rsidR="00B1153B">
              <w:rPr>
                <w:rFonts w:asciiTheme="minorHAnsi" w:eastAsia="MS Mincho" w:hAnsiTheme="minorHAnsi" w:cstheme="minorHAnsi"/>
                <w:lang w:val="en-US"/>
              </w:rPr>
              <w:t xml:space="preserve"> Critical pathway for compliance of the mitigation commitments under the Paris Agreement</w:t>
            </w:r>
            <w:r w:rsidRPr="00BD5EB6">
              <w:rPr>
                <w:rFonts w:asciiTheme="minorHAnsi" w:hAnsiTheme="minorHAnsi" w:cstheme="minorHAnsi"/>
                <w:sz w:val="20"/>
                <w:szCs w:val="20"/>
                <w:lang w:val="en-US"/>
              </w:rPr>
              <w:t xml:space="preserve"> document; and support to the coordination processes between institutions and the socialization of the planning, design, and integration of the </w:t>
            </w:r>
            <w:r w:rsidR="003E3F43">
              <w:rPr>
                <w:rFonts w:asciiTheme="minorHAnsi" w:eastAsia="MS Mincho" w:hAnsiTheme="minorHAnsi" w:cstheme="minorHAnsi"/>
                <w:lang w:val="en-US"/>
              </w:rPr>
              <w:t xml:space="preserve"> Critical pathway for compliance of the mitigation commitments under the Paris </w:t>
            </w:r>
            <w:proofErr w:type="spellStart"/>
            <w:r w:rsidR="003E3F43">
              <w:rPr>
                <w:rFonts w:asciiTheme="minorHAnsi" w:eastAsia="MS Mincho" w:hAnsiTheme="minorHAnsi" w:cstheme="minorHAnsi"/>
                <w:lang w:val="en-US"/>
              </w:rPr>
              <w:t>Agreement</w:t>
            </w:r>
            <w:r w:rsidRPr="00BD5EB6">
              <w:rPr>
                <w:rFonts w:asciiTheme="minorHAnsi" w:hAnsiTheme="minorHAnsi" w:cstheme="minorHAnsi"/>
                <w:sz w:val="20"/>
                <w:szCs w:val="20"/>
                <w:lang w:val="en-US"/>
              </w:rPr>
              <w:t>seeking</w:t>
            </w:r>
            <w:proofErr w:type="spellEnd"/>
            <w:r w:rsidRPr="00BD5EB6">
              <w:rPr>
                <w:rFonts w:asciiTheme="minorHAnsi" w:hAnsiTheme="minorHAnsi" w:cstheme="minorHAnsi"/>
                <w:sz w:val="20"/>
                <w:szCs w:val="20"/>
                <w:lang w:val="en-US"/>
              </w:rPr>
              <w:t xml:space="preserve"> to integrate and enhance the MRV process.</w:t>
            </w:r>
            <w:proofErr w:type="gramEnd"/>
          </w:p>
        </w:tc>
        <w:tc>
          <w:tcPr>
            <w:tcW w:w="1984" w:type="dxa"/>
            <w:tcBorders>
              <w:top w:val="single" w:sz="4" w:space="0" w:color="auto"/>
              <w:left w:val="single" w:sz="4" w:space="0" w:color="auto"/>
              <w:bottom w:val="single" w:sz="4" w:space="0" w:color="auto"/>
              <w:right w:val="single" w:sz="4" w:space="0" w:color="auto"/>
            </w:tcBorders>
          </w:tcPr>
          <w:p w14:paraId="2D48FC2B" w14:textId="40D8ADAF"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Supporting</w:t>
            </w:r>
          </w:p>
        </w:tc>
      </w:tr>
      <w:tr w:rsidR="00FD038C" w:rsidRPr="00BD5EB6" w14:paraId="5AAB3DA0" w14:textId="77777777" w:rsidTr="00295BA0">
        <w:trPr>
          <w:trHeight w:val="983"/>
        </w:trPr>
        <w:tc>
          <w:tcPr>
            <w:tcW w:w="2405" w:type="dxa"/>
            <w:vMerge/>
            <w:tcBorders>
              <w:left w:val="single" w:sz="4" w:space="0" w:color="auto"/>
              <w:right w:val="single" w:sz="4" w:space="0" w:color="auto"/>
            </w:tcBorders>
            <w:vAlign w:val="center"/>
          </w:tcPr>
          <w:p w14:paraId="40CDD05C"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32BF3E20" w14:textId="71587DD7"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proofErr w:type="gramStart"/>
            <w:r w:rsidRPr="00BD5EB6">
              <w:rPr>
                <w:rFonts w:asciiTheme="minorHAnsi" w:hAnsiTheme="minorHAnsi" w:cstheme="minorHAnsi"/>
                <w:sz w:val="20"/>
                <w:szCs w:val="20"/>
                <w:lang w:val="en-US"/>
              </w:rPr>
              <w:t xml:space="preserve">Preparation of a set of training materials aimed at supporting federal and subnational government efforts to report and register new sub national actions to the </w:t>
            </w:r>
            <w:r w:rsidR="00295BA0">
              <w:rPr>
                <w:rFonts w:asciiTheme="minorHAnsi" w:hAnsiTheme="minorHAnsi" w:cstheme="minorHAnsi"/>
                <w:sz w:val="20"/>
                <w:szCs w:val="20"/>
                <w:lang w:val="en-US"/>
              </w:rPr>
              <w:t>mitigation commitments</w:t>
            </w:r>
            <w:r w:rsidR="00295BA0" w:rsidRPr="00BD5EB6">
              <w:rPr>
                <w:rFonts w:asciiTheme="minorHAnsi" w:hAnsiTheme="minorHAnsi" w:cstheme="minorHAnsi"/>
                <w:sz w:val="20"/>
                <w:szCs w:val="20"/>
                <w:lang w:val="en-US"/>
              </w:rPr>
              <w:t xml:space="preserve"> </w:t>
            </w:r>
            <w:r w:rsidRPr="00BD5EB6">
              <w:rPr>
                <w:rFonts w:asciiTheme="minorHAnsi" w:hAnsiTheme="minorHAnsi" w:cstheme="minorHAnsi"/>
                <w:sz w:val="20"/>
                <w:szCs w:val="20"/>
                <w:lang w:val="en-US"/>
              </w:rPr>
              <w:t>of Mexico in the areas of (in order of priority, depending on availability of resources of the project): Transport and mobility infrastructure, Energy (oil and gas and electricity, including residential and commercial uses), LULUCF (including synergies mitigation-adaptation), Agriculture and livestock management, Waste, and Industrial Processes.</w:t>
            </w:r>
            <w:proofErr w:type="gramEnd"/>
          </w:p>
        </w:tc>
        <w:tc>
          <w:tcPr>
            <w:tcW w:w="1984" w:type="dxa"/>
            <w:tcBorders>
              <w:top w:val="single" w:sz="4" w:space="0" w:color="auto"/>
              <w:left w:val="single" w:sz="4" w:space="0" w:color="auto"/>
              <w:bottom w:val="single" w:sz="4" w:space="0" w:color="auto"/>
              <w:right w:val="single" w:sz="4" w:space="0" w:color="auto"/>
            </w:tcBorders>
          </w:tcPr>
          <w:p w14:paraId="6DBF3042" w14:textId="45933F50"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Supporting</w:t>
            </w:r>
          </w:p>
        </w:tc>
      </w:tr>
      <w:tr w:rsidR="00FD038C" w:rsidRPr="00BD5EB6" w14:paraId="3D53B055" w14:textId="77777777" w:rsidTr="00295BA0">
        <w:trPr>
          <w:trHeight w:val="983"/>
        </w:trPr>
        <w:tc>
          <w:tcPr>
            <w:tcW w:w="2405" w:type="dxa"/>
            <w:vMerge/>
            <w:tcBorders>
              <w:left w:val="single" w:sz="4" w:space="0" w:color="auto"/>
              <w:right w:val="single" w:sz="4" w:space="0" w:color="auto"/>
            </w:tcBorders>
            <w:vAlign w:val="center"/>
          </w:tcPr>
          <w:p w14:paraId="76680175"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0F0CD9A5" w14:textId="5CA097F9"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r w:rsidRPr="00BD5EB6">
              <w:rPr>
                <w:rFonts w:asciiTheme="minorHAnsi" w:hAnsiTheme="minorHAnsi" w:cstheme="minorHAnsi"/>
                <w:sz w:val="20"/>
                <w:szCs w:val="20"/>
                <w:lang w:val="en-GB"/>
              </w:rPr>
              <w:t xml:space="preserve">Preparation of </w:t>
            </w:r>
            <w:r w:rsidRPr="00BD5EB6">
              <w:rPr>
                <w:rFonts w:asciiTheme="minorHAnsi" w:hAnsiTheme="minorHAnsi" w:cstheme="minorHAnsi"/>
                <w:sz w:val="20"/>
                <w:szCs w:val="20"/>
                <w:lang w:val="en-US"/>
              </w:rPr>
              <w:t xml:space="preserve">Report “Synergies between adaptation and mitigation actions </w:t>
            </w:r>
            <w:r w:rsidR="00295BA0">
              <w:rPr>
                <w:rFonts w:asciiTheme="minorHAnsi" w:hAnsiTheme="minorHAnsi" w:cstheme="minorHAnsi"/>
                <w:sz w:val="20"/>
                <w:szCs w:val="20"/>
                <w:lang w:val="en-US"/>
              </w:rPr>
              <w:t>for</w:t>
            </w:r>
            <w:r w:rsidR="00295BA0" w:rsidRPr="00BD5EB6">
              <w:rPr>
                <w:rFonts w:asciiTheme="minorHAnsi" w:hAnsiTheme="minorHAnsi" w:cstheme="minorHAnsi"/>
                <w:sz w:val="20"/>
                <w:szCs w:val="20"/>
                <w:lang w:val="en-US"/>
              </w:rPr>
              <w:t xml:space="preserve"> the Mexican </w:t>
            </w:r>
            <w:r w:rsidR="00295BA0">
              <w:rPr>
                <w:rFonts w:asciiTheme="minorHAnsi" w:hAnsiTheme="minorHAnsi" w:cstheme="minorHAnsi"/>
                <w:sz w:val="20"/>
                <w:szCs w:val="20"/>
                <w:lang w:val="en-US"/>
              </w:rPr>
              <w:t xml:space="preserve">Climate Change </w:t>
            </w:r>
            <w:r w:rsidR="00295BA0" w:rsidRPr="009C5474">
              <w:rPr>
                <w:rFonts w:asciiTheme="minorHAnsi" w:hAnsiTheme="minorHAnsi" w:cstheme="minorHAnsi"/>
                <w:sz w:val="20"/>
                <w:szCs w:val="20"/>
                <w:lang w:val="en-US"/>
              </w:rPr>
              <w:t xml:space="preserve">commitments </w:t>
            </w:r>
            <w:r w:rsidR="00295BA0">
              <w:rPr>
                <w:rFonts w:asciiTheme="minorHAnsi" w:hAnsiTheme="minorHAnsi" w:cstheme="minorHAnsi"/>
                <w:sz w:val="20"/>
                <w:szCs w:val="20"/>
                <w:lang w:val="en-US"/>
              </w:rPr>
              <w:t>under</w:t>
            </w:r>
            <w:r w:rsidR="00295BA0" w:rsidRPr="009C5474">
              <w:rPr>
                <w:rFonts w:asciiTheme="minorHAnsi" w:hAnsiTheme="minorHAnsi" w:cstheme="minorHAnsi"/>
                <w:sz w:val="20"/>
                <w:szCs w:val="20"/>
                <w:lang w:val="en-US"/>
              </w:rPr>
              <w:t xml:space="preserve"> the Paris agreement</w:t>
            </w:r>
            <w:r w:rsidR="00295BA0">
              <w:rPr>
                <w:rFonts w:asciiTheme="minorHAnsi" w:hAnsiTheme="minorHAnsi" w:cstheme="minorHAnsi"/>
                <w:sz w:val="20"/>
                <w:szCs w:val="20"/>
                <w:lang w:val="en-US"/>
              </w:rPr>
              <w:t xml:space="preserve"> to </w:t>
            </w:r>
            <w:proofErr w:type="gramStart"/>
            <w:r w:rsidR="00295BA0">
              <w:rPr>
                <w:rFonts w:asciiTheme="minorHAnsi" w:hAnsiTheme="minorHAnsi" w:cstheme="minorHAnsi"/>
                <w:sz w:val="20"/>
                <w:szCs w:val="20"/>
                <w:lang w:val="en-US"/>
              </w:rPr>
              <w:t>2030</w:t>
            </w:r>
            <w:r w:rsidR="00295BA0" w:rsidRPr="00BD5EB6" w:rsidDel="000949B2">
              <w:rPr>
                <w:rFonts w:asciiTheme="minorHAnsi" w:hAnsiTheme="minorHAnsi" w:cstheme="minorHAnsi"/>
                <w:sz w:val="20"/>
                <w:szCs w:val="20"/>
                <w:lang w:val="en-US"/>
              </w:rPr>
              <w:t xml:space="preserve"> </w:t>
            </w:r>
            <w:r w:rsidRPr="00BD5EB6">
              <w:rPr>
                <w:rFonts w:asciiTheme="minorHAnsi" w:hAnsiTheme="minorHAnsi" w:cstheme="minorHAnsi"/>
                <w:sz w:val="20"/>
                <w:szCs w:val="20"/>
                <w:lang w:val="en-US"/>
              </w:rPr>
              <w:t>”</w:t>
            </w:r>
            <w:proofErr w:type="gramEnd"/>
            <w:r w:rsidRPr="00BD5EB6">
              <w:rPr>
                <w:rFonts w:asciiTheme="minorHAnsi" w:hAnsiTheme="minorHAnsi" w:cstheme="minorHAnsi"/>
                <w:sz w:val="20"/>
                <w:szCs w:val="20"/>
                <w:lang w:val="en-US"/>
              </w:rPr>
              <w:t xml:space="preserve"> to enhance its implementation.  An </w:t>
            </w:r>
            <w:proofErr w:type="gramStart"/>
            <w:r w:rsidRPr="00BD5EB6">
              <w:rPr>
                <w:rFonts w:asciiTheme="minorHAnsi" w:hAnsiTheme="minorHAnsi" w:cstheme="minorHAnsi"/>
                <w:sz w:val="20"/>
                <w:szCs w:val="20"/>
                <w:lang w:val="en-US"/>
              </w:rPr>
              <w:t xml:space="preserve">enhanced </w:t>
            </w:r>
            <w:r w:rsidR="00B1153B">
              <w:rPr>
                <w:rFonts w:asciiTheme="minorHAnsi" w:eastAsia="MS Mincho" w:hAnsiTheme="minorHAnsi" w:cstheme="minorHAnsi"/>
                <w:lang w:val="en-US"/>
              </w:rPr>
              <w:t xml:space="preserve"> Critical</w:t>
            </w:r>
            <w:proofErr w:type="gramEnd"/>
            <w:r w:rsidR="00B1153B">
              <w:rPr>
                <w:rFonts w:asciiTheme="minorHAnsi" w:eastAsia="MS Mincho" w:hAnsiTheme="minorHAnsi" w:cstheme="minorHAnsi"/>
                <w:lang w:val="en-US"/>
              </w:rPr>
              <w:t xml:space="preserve"> pathway for compliance of the mitigation commitments under the Paris </w:t>
            </w:r>
            <w:proofErr w:type="spellStart"/>
            <w:r w:rsidR="00B1153B">
              <w:rPr>
                <w:rFonts w:asciiTheme="minorHAnsi" w:eastAsia="MS Mincho" w:hAnsiTheme="minorHAnsi" w:cstheme="minorHAnsi"/>
                <w:lang w:val="en-US"/>
              </w:rPr>
              <w:t>Agreement</w:t>
            </w:r>
            <w:r w:rsidRPr="00BD5EB6">
              <w:rPr>
                <w:rFonts w:asciiTheme="minorHAnsi" w:hAnsiTheme="minorHAnsi" w:cstheme="minorHAnsi"/>
                <w:sz w:val="20"/>
                <w:szCs w:val="20"/>
                <w:lang w:val="en-US"/>
              </w:rPr>
              <w:t>with</w:t>
            </w:r>
            <w:proofErr w:type="spellEnd"/>
            <w:r w:rsidRPr="00BD5EB6">
              <w:rPr>
                <w:rFonts w:asciiTheme="minorHAnsi" w:hAnsiTheme="minorHAnsi" w:cstheme="minorHAnsi"/>
                <w:sz w:val="20"/>
                <w:szCs w:val="20"/>
                <w:lang w:val="en-US"/>
              </w:rPr>
              <w:t xml:space="preserve"> the analyses of the benefits of implement synergies between adaptation and mitigation</w:t>
            </w:r>
            <w:r w:rsidR="00B1153B">
              <w:rPr>
                <w:rFonts w:asciiTheme="minorHAnsi" w:hAnsiTheme="minorHAnsi" w:cstheme="minorHAns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7B065765" w14:textId="288469CD"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w:t>
            </w:r>
          </w:p>
        </w:tc>
      </w:tr>
      <w:tr w:rsidR="00FD038C" w:rsidRPr="00BD5EB6" w14:paraId="6119D458" w14:textId="77777777" w:rsidTr="00CD6C6C">
        <w:trPr>
          <w:trHeight w:val="983"/>
        </w:trPr>
        <w:tc>
          <w:tcPr>
            <w:tcW w:w="2405" w:type="dxa"/>
            <w:vMerge/>
            <w:tcBorders>
              <w:left w:val="single" w:sz="4" w:space="0" w:color="auto"/>
              <w:right w:val="single" w:sz="4" w:space="0" w:color="auto"/>
            </w:tcBorders>
            <w:vAlign w:val="center"/>
          </w:tcPr>
          <w:p w14:paraId="4EA0836C" w14:textId="77777777" w:rsidR="00FD038C" w:rsidRPr="00BD5EB6" w:rsidRDefault="00FD038C"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7EDE9834" w14:textId="17F307EC" w:rsidR="00FD038C" w:rsidRPr="00BD5EB6" w:rsidRDefault="00FD038C"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US"/>
              </w:rPr>
            </w:pPr>
            <w:r w:rsidRPr="00BD5EB6">
              <w:rPr>
                <w:rFonts w:asciiTheme="minorHAnsi" w:hAnsiTheme="minorHAnsi" w:cstheme="minorHAnsi"/>
                <w:sz w:val="20"/>
                <w:szCs w:val="20"/>
                <w:lang w:val="en-GB"/>
              </w:rPr>
              <w:t xml:space="preserve"> Preparation of a final report with the main results associated with the project and the process of integrating the </w:t>
            </w:r>
            <w:r w:rsidR="00295BA0">
              <w:rPr>
                <w:rFonts w:asciiTheme="minorHAnsi" w:eastAsia="MS Mincho" w:hAnsiTheme="minorHAnsi" w:cstheme="minorHAnsi"/>
                <w:lang w:val="en-US"/>
              </w:rPr>
              <w:t>Critical pathway for compliance of the mitigation commitments under the Paris Agreement</w:t>
            </w:r>
            <w:r w:rsidRPr="00BD5EB6">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tcPr>
          <w:p w14:paraId="3C81F827" w14:textId="77777777" w:rsidR="00FD038C" w:rsidRPr="00BD5EB6" w:rsidRDefault="00FD038C"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r>
              <w:rPr>
                <w:rFonts w:asciiTheme="minorHAnsi" w:hAnsiTheme="minorHAnsi" w:cstheme="minorHAnsi"/>
                <w:sz w:val="20"/>
                <w:szCs w:val="20"/>
                <w:lang w:val="en-US"/>
              </w:rPr>
              <w:t>Supporting</w:t>
            </w:r>
          </w:p>
        </w:tc>
      </w:tr>
      <w:tr w:rsidR="00AB4EE6" w:rsidRPr="002F39BD" w14:paraId="2B2A5375" w14:textId="77777777" w:rsidTr="00295BA0">
        <w:trPr>
          <w:trHeight w:val="983"/>
        </w:trPr>
        <w:tc>
          <w:tcPr>
            <w:tcW w:w="2405" w:type="dxa"/>
            <w:tcBorders>
              <w:left w:val="single" w:sz="4" w:space="0" w:color="auto"/>
              <w:bottom w:val="single" w:sz="4" w:space="0" w:color="auto"/>
              <w:right w:val="single" w:sz="4" w:space="0" w:color="auto"/>
            </w:tcBorders>
            <w:vAlign w:val="center"/>
          </w:tcPr>
          <w:p w14:paraId="7DA46D67" w14:textId="77777777" w:rsidR="00AB4EE6" w:rsidRPr="00BD5EB6" w:rsidRDefault="00AB4EE6" w:rsidP="0089299B">
            <w:pPr>
              <w:spacing w:before="100" w:beforeAutospacing="1" w:after="120"/>
              <w:ind w:right="177"/>
              <w:contextualSpacing/>
              <w:jc w:val="center"/>
              <w:rPr>
                <w:rFonts w:asciiTheme="minorHAnsi" w:hAnsiTheme="minorHAnsi" w:cstheme="minorHAnsi"/>
                <w:b/>
                <w:bCs/>
                <w:sz w:val="20"/>
                <w:szCs w:val="20"/>
                <w:lang w:val="en-US"/>
              </w:rPr>
            </w:pPr>
          </w:p>
        </w:tc>
        <w:tc>
          <w:tcPr>
            <w:tcW w:w="4253" w:type="dxa"/>
            <w:tcBorders>
              <w:top w:val="single" w:sz="4" w:space="0" w:color="auto"/>
              <w:left w:val="single" w:sz="4" w:space="0" w:color="auto"/>
              <w:bottom w:val="single" w:sz="4" w:space="0" w:color="auto"/>
              <w:right w:val="single" w:sz="4" w:space="0" w:color="auto"/>
            </w:tcBorders>
            <w:vAlign w:val="center"/>
          </w:tcPr>
          <w:p w14:paraId="2805FE6F" w14:textId="03F33788" w:rsidR="00AB4EE6" w:rsidRPr="00BD5EB6" w:rsidRDefault="00AB4EE6" w:rsidP="00FD038C">
            <w:pPr>
              <w:widowControl w:val="0"/>
              <w:numPr>
                <w:ilvl w:val="1"/>
                <w:numId w:val="26"/>
              </w:numPr>
              <w:tabs>
                <w:tab w:val="left" w:pos="1201"/>
                <w:tab w:val="left" w:pos="4824"/>
              </w:tabs>
              <w:suppressAutoHyphens/>
              <w:contextualSpacing/>
              <w:jc w:val="both"/>
              <w:rPr>
                <w:rFonts w:asciiTheme="minorHAnsi" w:hAnsiTheme="minorHAnsi" w:cstheme="minorHAnsi"/>
                <w:sz w:val="20"/>
                <w:szCs w:val="20"/>
                <w:lang w:val="en-GB"/>
              </w:rPr>
            </w:pPr>
            <w:r w:rsidRPr="00796009">
              <w:rPr>
                <w:rFonts w:asciiTheme="minorHAnsi" w:hAnsiTheme="minorHAnsi" w:cstheme="minorHAnsi"/>
                <w:sz w:val="20"/>
                <w:szCs w:val="20"/>
                <w:lang w:val="en-GB"/>
              </w:rPr>
              <w:t xml:space="preserve">Participate in the operational activities of the </w:t>
            </w:r>
            <w:r>
              <w:rPr>
                <w:rFonts w:asciiTheme="minorHAnsi" w:hAnsiTheme="minorHAnsi" w:cstheme="minorHAnsi"/>
                <w:sz w:val="20"/>
                <w:szCs w:val="20"/>
                <w:lang w:val="en-GB"/>
              </w:rPr>
              <w:t>*</w:t>
            </w:r>
            <w:r w:rsidRPr="00796009">
              <w:rPr>
                <w:rFonts w:asciiTheme="minorHAnsi" w:hAnsiTheme="minorHAnsi" w:cstheme="minorHAnsi"/>
                <w:sz w:val="20"/>
                <w:szCs w:val="20"/>
                <w:lang w:val="en-GB"/>
              </w:rPr>
              <w:t>DGPCC</w:t>
            </w:r>
            <w:r>
              <w:rPr>
                <w:rFonts w:asciiTheme="minorHAnsi" w:hAnsiTheme="minorHAnsi" w:cstheme="minorHAnsi"/>
                <w:sz w:val="20"/>
                <w:szCs w:val="20"/>
                <w:lang w:val="en-GB"/>
              </w:rPr>
              <w:t>/SEMARNAT</w:t>
            </w:r>
            <w:r w:rsidRPr="00796009">
              <w:rPr>
                <w:rFonts w:asciiTheme="minorHAnsi" w:hAnsiTheme="minorHAnsi" w:cstheme="minorHAnsi"/>
                <w:sz w:val="20"/>
                <w:szCs w:val="20"/>
                <w:lang w:val="en-GB"/>
              </w:rPr>
              <w:t xml:space="preserve"> and all those that are required for the correct and timely implementation of mitigation measures.</w:t>
            </w:r>
          </w:p>
        </w:tc>
        <w:tc>
          <w:tcPr>
            <w:tcW w:w="1984" w:type="dxa"/>
            <w:tcBorders>
              <w:top w:val="single" w:sz="4" w:space="0" w:color="auto"/>
              <w:left w:val="single" w:sz="4" w:space="0" w:color="auto"/>
              <w:bottom w:val="single" w:sz="4" w:space="0" w:color="auto"/>
              <w:right w:val="single" w:sz="4" w:space="0" w:color="auto"/>
            </w:tcBorders>
          </w:tcPr>
          <w:p w14:paraId="08FE9F1A" w14:textId="77777777" w:rsidR="00AB4EE6" w:rsidRDefault="00AB4EE6" w:rsidP="0089299B">
            <w:pPr>
              <w:widowControl w:val="0"/>
              <w:tabs>
                <w:tab w:val="left" w:pos="1201"/>
                <w:tab w:val="left" w:pos="4824"/>
              </w:tabs>
              <w:suppressAutoHyphens/>
              <w:ind w:left="360"/>
              <w:contextualSpacing/>
              <w:jc w:val="both"/>
              <w:rPr>
                <w:rFonts w:asciiTheme="minorHAnsi" w:hAnsiTheme="minorHAnsi" w:cstheme="minorHAnsi"/>
                <w:sz w:val="20"/>
                <w:szCs w:val="20"/>
                <w:lang w:val="en-US"/>
              </w:rPr>
            </w:pPr>
          </w:p>
        </w:tc>
      </w:tr>
    </w:tbl>
    <w:p w14:paraId="2FF8BB9C" w14:textId="77777777" w:rsidR="00AB4EE6" w:rsidRPr="00F73904" w:rsidRDefault="00AB4EE6" w:rsidP="00AB4EE6">
      <w:pPr>
        <w:pStyle w:val="ListParagraph"/>
        <w:spacing w:before="120" w:after="120"/>
        <w:ind w:left="284"/>
        <w:jc w:val="both"/>
        <w:rPr>
          <w:rFonts w:asciiTheme="minorHAnsi" w:eastAsia="Calibri" w:hAnsiTheme="minorHAnsi" w:cstheme="minorHAnsi"/>
          <w:b/>
          <w:sz w:val="18"/>
          <w:szCs w:val="18"/>
          <w:lang w:val="en-US"/>
        </w:rPr>
      </w:pPr>
      <w:bookmarkStart w:id="3" w:name="_Hlk83936853"/>
      <w:r w:rsidRPr="00F73904">
        <w:rPr>
          <w:rFonts w:asciiTheme="minorHAnsi" w:eastAsia="Calibri" w:hAnsiTheme="minorHAnsi" w:cstheme="minorHAnsi"/>
          <w:b/>
          <w:sz w:val="18"/>
          <w:szCs w:val="18"/>
          <w:lang w:val="en-US"/>
        </w:rPr>
        <w:t>*DGPCC: General Direction for Climate Change Policies</w:t>
      </w:r>
    </w:p>
    <w:bookmarkEnd w:id="3"/>
    <w:p w14:paraId="194844B2" w14:textId="04801531" w:rsidR="00AB4EE6" w:rsidRDefault="00AB4EE6" w:rsidP="00AC3722">
      <w:pPr>
        <w:pStyle w:val="ListParagraph"/>
        <w:spacing w:before="120" w:after="120"/>
        <w:ind w:left="284"/>
        <w:jc w:val="both"/>
        <w:rPr>
          <w:rFonts w:asciiTheme="minorHAnsi" w:eastAsia="Calibri" w:hAnsiTheme="minorHAnsi" w:cstheme="minorHAnsi"/>
          <w:b/>
          <w:sz w:val="22"/>
          <w:szCs w:val="22"/>
          <w:lang w:val="en-US"/>
        </w:rPr>
      </w:pPr>
    </w:p>
    <w:p w14:paraId="40B9B8F1" w14:textId="77777777" w:rsidR="00AB4EE6" w:rsidRPr="00925B91" w:rsidRDefault="00AB4EE6" w:rsidP="00AC3722">
      <w:pPr>
        <w:pStyle w:val="ListParagraph"/>
        <w:spacing w:before="120" w:after="120"/>
        <w:ind w:left="284"/>
        <w:jc w:val="both"/>
        <w:rPr>
          <w:rFonts w:asciiTheme="minorHAnsi" w:eastAsia="Calibri" w:hAnsiTheme="minorHAnsi" w:cstheme="minorHAnsi"/>
          <w:b/>
          <w:sz w:val="22"/>
          <w:szCs w:val="22"/>
          <w:lang w:val="en-US"/>
        </w:rPr>
      </w:pPr>
    </w:p>
    <w:p w14:paraId="1EBE795E" w14:textId="697ECD55" w:rsidR="00F57B65" w:rsidRPr="00925B91" w:rsidRDefault="00F57B65" w:rsidP="00A85C56">
      <w:pPr>
        <w:pStyle w:val="ListParagraph"/>
        <w:numPr>
          <w:ilvl w:val="0"/>
          <w:numId w:val="1"/>
        </w:numPr>
        <w:spacing w:before="120" w:after="120"/>
        <w:ind w:left="284"/>
        <w:jc w:val="both"/>
        <w:rPr>
          <w:rFonts w:asciiTheme="minorHAnsi" w:eastAsia="Calibri" w:hAnsiTheme="minorHAnsi" w:cstheme="minorHAnsi"/>
          <w:b/>
          <w:sz w:val="22"/>
          <w:szCs w:val="22"/>
          <w:lang w:val="en-US"/>
        </w:rPr>
      </w:pPr>
      <w:r w:rsidRPr="00925B91">
        <w:rPr>
          <w:rFonts w:asciiTheme="minorHAnsi" w:eastAsia="Calibri" w:hAnsiTheme="minorHAnsi" w:cstheme="minorHAnsi"/>
          <w:b/>
          <w:sz w:val="22"/>
          <w:szCs w:val="22"/>
          <w:lang w:val="en-US"/>
        </w:rPr>
        <w:t xml:space="preserve">Expected </w:t>
      </w:r>
      <w:r w:rsidR="005C3212" w:rsidRPr="00925B91">
        <w:rPr>
          <w:rFonts w:asciiTheme="minorHAnsi" w:eastAsia="Calibri" w:hAnsiTheme="minorHAnsi" w:cstheme="minorHAnsi"/>
          <w:b/>
          <w:sz w:val="22"/>
          <w:szCs w:val="22"/>
          <w:lang w:val="en-US"/>
        </w:rPr>
        <w:t>deliverables</w:t>
      </w:r>
      <w:r w:rsidR="00FD038C">
        <w:rPr>
          <w:rFonts w:asciiTheme="minorHAnsi" w:eastAsia="Calibri" w:hAnsiTheme="minorHAnsi" w:cstheme="minorHAnsi"/>
          <w:b/>
          <w:sz w:val="22"/>
          <w:szCs w:val="22"/>
          <w:lang w:val="en-US"/>
        </w:rPr>
        <w:t xml:space="preserve"> (support)</w:t>
      </w:r>
    </w:p>
    <w:p w14:paraId="0CB09187" w14:textId="13FB6F86" w:rsidR="007E7E06" w:rsidRPr="00FD038C" w:rsidRDefault="007E7E06" w:rsidP="00AC3722">
      <w:pPr>
        <w:pStyle w:val="ListParagraph"/>
        <w:tabs>
          <w:tab w:val="left" w:pos="1201"/>
          <w:tab w:val="left" w:pos="4824"/>
        </w:tabs>
        <w:ind w:left="0"/>
        <w:jc w:val="both"/>
        <w:rPr>
          <w:rFonts w:asciiTheme="minorHAnsi" w:hAnsiTheme="minorHAnsi" w:cstheme="minorHAnsi"/>
          <w:sz w:val="22"/>
          <w:szCs w:val="22"/>
          <w:lang w:val="en-US"/>
        </w:rPr>
      </w:pPr>
      <w:r w:rsidRPr="00F279D3">
        <w:rPr>
          <w:rFonts w:asciiTheme="minorHAnsi" w:hAnsiTheme="minorHAnsi" w:cstheme="minorHAnsi"/>
          <w:b/>
          <w:sz w:val="22"/>
          <w:szCs w:val="22"/>
          <w:lang w:val="en-US"/>
        </w:rPr>
        <w:t>Deliverable #D1.1</w:t>
      </w:r>
      <w:r w:rsidRPr="00F279D3">
        <w:rPr>
          <w:rFonts w:asciiTheme="minorHAnsi" w:hAnsiTheme="minorHAnsi" w:cstheme="minorHAnsi"/>
          <w:sz w:val="22"/>
          <w:szCs w:val="22"/>
          <w:lang w:val="en-US"/>
        </w:rPr>
        <w:t>: Detailed work plan for the development of activities in accordance with the project's framework objective</w:t>
      </w:r>
      <w:r w:rsidR="00FD038C" w:rsidRPr="00FD038C">
        <w:rPr>
          <w:rFonts w:asciiTheme="minorHAnsi" w:hAnsiTheme="minorHAnsi" w:cstheme="minorHAnsi"/>
          <w:sz w:val="22"/>
          <w:szCs w:val="22"/>
          <w:lang w:val="en-US"/>
        </w:rPr>
        <w:t xml:space="preserve"> (in a collaborative effort with</w:t>
      </w:r>
      <w:r w:rsidR="00FD038C">
        <w:rPr>
          <w:rFonts w:asciiTheme="minorHAnsi" w:hAnsiTheme="minorHAnsi" w:cstheme="minorHAnsi"/>
          <w:sz w:val="22"/>
          <w:szCs w:val="22"/>
          <w:lang w:val="en-US"/>
        </w:rPr>
        <w:t xml:space="preserve"> Local Consultants #1, #2 and #3</w:t>
      </w:r>
      <w:r w:rsidR="00FD038C" w:rsidRPr="00FD038C">
        <w:rPr>
          <w:rFonts w:asciiTheme="minorHAnsi" w:hAnsiTheme="minorHAnsi" w:cstheme="minorHAnsi"/>
          <w:sz w:val="22"/>
          <w:szCs w:val="22"/>
          <w:lang w:val="en-US"/>
        </w:rPr>
        <w:t xml:space="preserve">). </w:t>
      </w:r>
      <w:r w:rsidRPr="00F279D3">
        <w:rPr>
          <w:rFonts w:asciiTheme="minorHAnsi" w:hAnsiTheme="minorHAnsi" w:cstheme="minorHAnsi"/>
          <w:sz w:val="22"/>
          <w:szCs w:val="22"/>
          <w:lang w:val="en-US"/>
        </w:rPr>
        <w:t xml:space="preserve"> (2 pages). </w:t>
      </w:r>
    </w:p>
    <w:p w14:paraId="6CCB96CC" w14:textId="355BC140" w:rsidR="007E7E06" w:rsidRPr="00F279D3" w:rsidRDefault="007E7E06" w:rsidP="00AC3722">
      <w:pPr>
        <w:pStyle w:val="ListParagraph"/>
        <w:tabs>
          <w:tab w:val="left" w:pos="1201"/>
          <w:tab w:val="left" w:pos="4824"/>
        </w:tabs>
        <w:ind w:left="0"/>
        <w:jc w:val="both"/>
        <w:rPr>
          <w:rFonts w:asciiTheme="minorHAnsi" w:hAnsiTheme="minorHAnsi" w:cstheme="minorHAnsi"/>
          <w:b/>
          <w:sz w:val="22"/>
          <w:szCs w:val="22"/>
          <w:lang w:val="en-US"/>
        </w:rPr>
      </w:pPr>
      <w:r w:rsidRPr="00F279D3">
        <w:rPr>
          <w:rFonts w:asciiTheme="minorHAnsi" w:hAnsiTheme="minorHAnsi" w:cstheme="minorHAnsi"/>
          <w:b/>
          <w:sz w:val="22"/>
          <w:szCs w:val="22"/>
          <w:lang w:val="en-US"/>
        </w:rPr>
        <w:t>Deliverable #D1.2</w:t>
      </w:r>
      <w:r w:rsidR="00AC3722" w:rsidRPr="00F279D3">
        <w:rPr>
          <w:rFonts w:asciiTheme="minorHAnsi" w:hAnsiTheme="minorHAnsi" w:cstheme="minorHAnsi"/>
          <w:b/>
          <w:sz w:val="22"/>
          <w:szCs w:val="22"/>
          <w:lang w:val="en-US"/>
        </w:rPr>
        <w:t>:</w:t>
      </w:r>
      <w:r w:rsidRPr="00F279D3">
        <w:rPr>
          <w:rFonts w:asciiTheme="minorHAnsi" w:hAnsiTheme="minorHAnsi" w:cstheme="minorHAnsi"/>
          <w:b/>
          <w:sz w:val="22"/>
          <w:szCs w:val="22"/>
          <w:lang w:val="en-US"/>
        </w:rPr>
        <w:t xml:space="preserve"> </w:t>
      </w:r>
      <w:r w:rsidRPr="00F279D3">
        <w:rPr>
          <w:rFonts w:asciiTheme="minorHAnsi" w:hAnsiTheme="minorHAnsi" w:cstheme="minorHAnsi"/>
          <w:bCs/>
          <w:sz w:val="22"/>
          <w:szCs w:val="22"/>
          <w:lang w:val="en-US"/>
        </w:rPr>
        <w:t>Proposal for the socialization and integration of information on the road map with the academic, civil society and private sectors.</w:t>
      </w:r>
    </w:p>
    <w:p w14:paraId="5964F722" w14:textId="4C5AA7A9" w:rsidR="007E7E06" w:rsidRPr="00F279D3" w:rsidRDefault="007E7E06" w:rsidP="00AC3722">
      <w:pPr>
        <w:pStyle w:val="ListParagraph"/>
        <w:ind w:left="0"/>
        <w:jc w:val="both"/>
        <w:rPr>
          <w:rFonts w:asciiTheme="minorHAnsi" w:hAnsiTheme="minorHAnsi" w:cstheme="minorHAnsi"/>
          <w:sz w:val="22"/>
          <w:szCs w:val="22"/>
          <w:lang w:val="en-GB"/>
        </w:rPr>
      </w:pPr>
      <w:r w:rsidRPr="00F279D3">
        <w:rPr>
          <w:rFonts w:asciiTheme="minorHAnsi" w:hAnsiTheme="minorHAnsi" w:cstheme="minorHAnsi"/>
          <w:b/>
          <w:sz w:val="22"/>
          <w:szCs w:val="22"/>
          <w:lang w:val="en-US"/>
        </w:rPr>
        <w:t>Deliverable #D1.3</w:t>
      </w:r>
      <w:r w:rsidR="00AC3722" w:rsidRPr="00F279D3">
        <w:rPr>
          <w:rFonts w:asciiTheme="minorHAnsi" w:hAnsiTheme="minorHAnsi" w:cstheme="minorHAnsi"/>
          <w:b/>
          <w:sz w:val="22"/>
          <w:szCs w:val="22"/>
          <w:lang w:val="en-US"/>
        </w:rPr>
        <w:t>:</w:t>
      </w:r>
      <w:r w:rsidRPr="00F279D3">
        <w:rPr>
          <w:rFonts w:asciiTheme="minorHAnsi" w:hAnsiTheme="minorHAnsi" w:cstheme="minorHAnsi"/>
          <w:b/>
          <w:sz w:val="22"/>
          <w:szCs w:val="22"/>
          <w:lang w:val="en-US"/>
        </w:rPr>
        <w:t xml:space="preserve"> </w:t>
      </w:r>
      <w:r w:rsidRPr="00F279D3">
        <w:rPr>
          <w:rFonts w:asciiTheme="minorHAnsi" w:hAnsiTheme="minorHAnsi" w:cstheme="minorHAnsi"/>
          <w:bCs/>
          <w:sz w:val="22"/>
          <w:szCs w:val="22"/>
          <w:lang w:val="en-US"/>
        </w:rPr>
        <w:t xml:space="preserve">An enhanced </w:t>
      </w:r>
      <w:r w:rsidR="00295BA0">
        <w:rPr>
          <w:rFonts w:asciiTheme="minorHAnsi" w:eastAsia="MS Mincho" w:hAnsiTheme="minorHAnsi" w:cstheme="minorHAnsi"/>
          <w:sz w:val="22"/>
          <w:szCs w:val="22"/>
          <w:lang w:val="en-US"/>
        </w:rPr>
        <w:t xml:space="preserve">Critical pathway for compliance of the mitigation commitments under the Paris Agreement, </w:t>
      </w:r>
      <w:r w:rsidRPr="00F279D3">
        <w:rPr>
          <w:rFonts w:asciiTheme="minorHAnsi" w:hAnsiTheme="minorHAnsi" w:cstheme="minorHAnsi"/>
          <w:bCs/>
          <w:sz w:val="22"/>
          <w:szCs w:val="22"/>
          <w:lang w:val="en-US"/>
        </w:rPr>
        <w:t xml:space="preserve">including inputs from the analysis and systematization of information process looking at the enhancement of the MRV process. </w:t>
      </w:r>
    </w:p>
    <w:p w14:paraId="16C34779" w14:textId="4CDED217" w:rsidR="007E7E06" w:rsidRPr="00F279D3" w:rsidRDefault="007E7E06" w:rsidP="007E7E06">
      <w:pPr>
        <w:pStyle w:val="ListParagraph"/>
        <w:tabs>
          <w:tab w:val="left" w:pos="1201"/>
          <w:tab w:val="left" w:pos="4824"/>
        </w:tabs>
        <w:ind w:left="0"/>
        <w:jc w:val="both"/>
        <w:rPr>
          <w:rFonts w:asciiTheme="minorHAnsi" w:hAnsiTheme="minorHAnsi" w:cstheme="minorHAnsi"/>
          <w:bCs/>
          <w:sz w:val="22"/>
          <w:szCs w:val="22"/>
          <w:lang w:val="en-US"/>
        </w:rPr>
      </w:pPr>
      <w:proofErr w:type="gramStart"/>
      <w:r w:rsidRPr="00F279D3">
        <w:rPr>
          <w:rFonts w:asciiTheme="minorHAnsi" w:hAnsiTheme="minorHAnsi" w:cstheme="minorHAnsi"/>
          <w:b/>
          <w:sz w:val="22"/>
          <w:szCs w:val="22"/>
          <w:lang w:val="en-US"/>
        </w:rPr>
        <w:t>Deliverable #D1.5</w:t>
      </w:r>
      <w:r w:rsidR="00AC3722" w:rsidRPr="00F279D3">
        <w:rPr>
          <w:rFonts w:asciiTheme="minorHAnsi" w:hAnsiTheme="minorHAnsi" w:cstheme="minorHAnsi"/>
          <w:b/>
          <w:sz w:val="22"/>
          <w:szCs w:val="22"/>
          <w:lang w:val="en-US"/>
        </w:rPr>
        <w:t>:</w:t>
      </w:r>
      <w:r w:rsidRPr="00F279D3">
        <w:rPr>
          <w:rFonts w:asciiTheme="minorHAnsi" w:hAnsiTheme="minorHAnsi" w:cstheme="minorHAnsi"/>
          <w:b/>
          <w:sz w:val="22"/>
          <w:szCs w:val="22"/>
          <w:lang w:val="en-US"/>
        </w:rPr>
        <w:t xml:space="preserve"> </w:t>
      </w:r>
      <w:r w:rsidRPr="00F279D3">
        <w:rPr>
          <w:rFonts w:asciiTheme="minorHAnsi" w:hAnsiTheme="minorHAnsi" w:cstheme="minorHAnsi"/>
          <w:bCs/>
          <w:sz w:val="22"/>
          <w:szCs w:val="22"/>
          <w:lang w:val="en-US"/>
        </w:rPr>
        <w:t xml:space="preserve">Document with the analysis and systematization of existing information on mitigation policies and measures from the public sector at the national, sub-national level and from other key stakeholders gathered as a part of the </w:t>
      </w:r>
      <w:r w:rsidR="00B1153B">
        <w:rPr>
          <w:rFonts w:asciiTheme="minorHAnsi" w:eastAsia="MS Mincho" w:hAnsiTheme="minorHAnsi" w:cstheme="minorHAnsi"/>
          <w:sz w:val="22"/>
          <w:szCs w:val="22"/>
          <w:lang w:val="en-US"/>
        </w:rPr>
        <w:t xml:space="preserve">Critical pathway for compliance of the mitigation commitments under the Paris </w:t>
      </w:r>
      <w:proofErr w:type="spellStart"/>
      <w:r w:rsidR="00B1153B">
        <w:rPr>
          <w:rFonts w:asciiTheme="minorHAnsi" w:eastAsia="MS Mincho" w:hAnsiTheme="minorHAnsi" w:cstheme="minorHAnsi"/>
          <w:sz w:val="22"/>
          <w:szCs w:val="22"/>
          <w:lang w:val="en-US"/>
        </w:rPr>
        <w:t>Agreement</w:t>
      </w:r>
      <w:r w:rsidRPr="00F279D3">
        <w:rPr>
          <w:rFonts w:asciiTheme="minorHAnsi" w:hAnsiTheme="minorHAnsi" w:cstheme="minorHAnsi"/>
          <w:bCs/>
          <w:sz w:val="22"/>
          <w:szCs w:val="22"/>
          <w:lang w:val="en-US"/>
        </w:rPr>
        <w:t>process</w:t>
      </w:r>
      <w:proofErr w:type="spellEnd"/>
      <w:r w:rsidRPr="00F279D3">
        <w:rPr>
          <w:rFonts w:asciiTheme="minorHAnsi" w:hAnsiTheme="minorHAnsi" w:cstheme="minorHAnsi"/>
          <w:bCs/>
          <w:sz w:val="22"/>
          <w:szCs w:val="22"/>
          <w:lang w:val="en-US"/>
        </w:rPr>
        <w:t>, and the proposal of methodology and tools for systematization, comparing the process followed by Semarnat with the ICAT methodology.</w:t>
      </w:r>
      <w:proofErr w:type="gramEnd"/>
    </w:p>
    <w:p w14:paraId="0CE051AC" w14:textId="29AB3A05" w:rsidR="007E7E06" w:rsidRPr="00F279D3" w:rsidRDefault="007E7E06" w:rsidP="007E7E06">
      <w:pPr>
        <w:tabs>
          <w:tab w:val="left" w:pos="1201"/>
          <w:tab w:val="left" w:pos="4824"/>
        </w:tabs>
        <w:jc w:val="both"/>
        <w:rPr>
          <w:rFonts w:asciiTheme="minorHAnsi" w:hAnsiTheme="minorHAnsi" w:cstheme="minorHAnsi"/>
          <w:sz w:val="22"/>
          <w:szCs w:val="22"/>
          <w:lang w:val="en-GB"/>
        </w:rPr>
      </w:pPr>
      <w:r w:rsidRPr="00F279D3">
        <w:rPr>
          <w:rFonts w:asciiTheme="minorHAnsi" w:hAnsiTheme="minorHAnsi" w:cstheme="minorHAnsi"/>
          <w:b/>
          <w:sz w:val="22"/>
          <w:szCs w:val="22"/>
          <w:lang w:val="en-US"/>
        </w:rPr>
        <w:t>Deliverable #D1.7</w:t>
      </w:r>
      <w:r w:rsidR="00AC3722" w:rsidRPr="00F279D3">
        <w:rPr>
          <w:rFonts w:asciiTheme="minorHAnsi" w:hAnsiTheme="minorHAnsi" w:cstheme="minorHAnsi"/>
          <w:b/>
          <w:sz w:val="22"/>
          <w:szCs w:val="22"/>
          <w:lang w:val="en-US"/>
        </w:rPr>
        <w:t>:</w:t>
      </w:r>
      <w:r w:rsidRPr="00F279D3">
        <w:rPr>
          <w:rFonts w:asciiTheme="minorHAnsi" w:hAnsiTheme="minorHAnsi" w:cstheme="minorHAnsi"/>
          <w:b/>
          <w:sz w:val="22"/>
          <w:szCs w:val="22"/>
          <w:lang w:val="en-US"/>
        </w:rPr>
        <w:t xml:space="preserve"> </w:t>
      </w:r>
      <w:r w:rsidRPr="00F279D3">
        <w:rPr>
          <w:rFonts w:asciiTheme="minorHAnsi" w:hAnsiTheme="minorHAnsi" w:cstheme="minorHAnsi"/>
          <w:sz w:val="22"/>
          <w:szCs w:val="22"/>
          <w:lang w:val="en-US"/>
        </w:rPr>
        <w:t xml:space="preserve">Report of the results of the compilation, systematization, review, and analysis of the information associated with the prioritized measures identified for every sector, including the integration of </w:t>
      </w:r>
      <w:r w:rsidRPr="00F279D3">
        <w:rPr>
          <w:rFonts w:asciiTheme="minorHAnsi" w:hAnsiTheme="minorHAnsi" w:cstheme="minorHAnsi"/>
          <w:sz w:val="22"/>
          <w:szCs w:val="22"/>
          <w:lang w:val="en-GB"/>
        </w:rPr>
        <w:t>relevant or appropriate information such as recommendations and conclusions to the analysis that improves the results or discussions, provided by their own professional experience and using as framework international experiences or studios, such those from the UNFCCC.</w:t>
      </w:r>
    </w:p>
    <w:p w14:paraId="6424D503" w14:textId="2F6FFF27" w:rsidR="007E7E06" w:rsidRPr="00F279D3" w:rsidRDefault="007E7E06" w:rsidP="007E7E06">
      <w:pPr>
        <w:tabs>
          <w:tab w:val="left" w:pos="1201"/>
          <w:tab w:val="left" w:pos="4824"/>
        </w:tabs>
        <w:jc w:val="both"/>
        <w:rPr>
          <w:rFonts w:asciiTheme="minorHAnsi" w:hAnsiTheme="minorHAnsi" w:cstheme="minorHAnsi"/>
          <w:bCs/>
          <w:sz w:val="22"/>
          <w:szCs w:val="22"/>
          <w:lang w:val="en-US"/>
        </w:rPr>
      </w:pPr>
      <w:r w:rsidRPr="00F279D3">
        <w:rPr>
          <w:rFonts w:asciiTheme="minorHAnsi" w:hAnsiTheme="minorHAnsi" w:cstheme="minorHAnsi"/>
          <w:b/>
          <w:sz w:val="22"/>
          <w:szCs w:val="22"/>
          <w:lang w:val="en-US"/>
        </w:rPr>
        <w:t>Deliverable #D1.8</w:t>
      </w:r>
      <w:r w:rsidR="00AC3722" w:rsidRPr="00F279D3">
        <w:rPr>
          <w:rFonts w:asciiTheme="minorHAnsi" w:hAnsiTheme="minorHAnsi" w:cstheme="minorHAnsi"/>
          <w:b/>
          <w:sz w:val="22"/>
          <w:szCs w:val="22"/>
          <w:lang w:val="en-US"/>
        </w:rPr>
        <w:t>:</w:t>
      </w:r>
      <w:r w:rsidRPr="00F279D3">
        <w:rPr>
          <w:rFonts w:asciiTheme="minorHAnsi" w:hAnsiTheme="minorHAnsi" w:cstheme="minorHAnsi"/>
          <w:b/>
          <w:sz w:val="22"/>
          <w:szCs w:val="22"/>
          <w:lang w:val="en-US"/>
        </w:rPr>
        <w:t xml:space="preserve"> </w:t>
      </w:r>
      <w:r w:rsidRPr="00F279D3">
        <w:rPr>
          <w:rFonts w:asciiTheme="minorHAnsi" w:hAnsiTheme="minorHAnsi" w:cstheme="minorHAnsi"/>
          <w:bCs/>
          <w:sz w:val="22"/>
          <w:szCs w:val="22"/>
          <w:lang w:val="en-US"/>
        </w:rPr>
        <w:t>Set of training materials seeking to support federal and subnational governments</w:t>
      </w:r>
      <w:r w:rsidR="00DF0343" w:rsidRPr="00F279D3">
        <w:rPr>
          <w:rFonts w:asciiTheme="minorHAnsi" w:hAnsiTheme="minorHAnsi" w:cstheme="minorHAnsi"/>
          <w:bCs/>
          <w:sz w:val="22"/>
          <w:szCs w:val="22"/>
          <w:lang w:val="en-US"/>
        </w:rPr>
        <w:t xml:space="preserve"> </w:t>
      </w:r>
      <w:r w:rsidR="00DF0343" w:rsidRPr="001A1B19">
        <w:rPr>
          <w:rFonts w:asciiTheme="minorHAnsi" w:hAnsiTheme="minorHAnsi" w:cstheme="minorHAnsi"/>
          <w:b/>
          <w:sz w:val="22"/>
          <w:szCs w:val="22"/>
          <w:lang w:val="en-US"/>
        </w:rPr>
        <w:t>(#D1.8a Draft version and #D1.8b Final version)</w:t>
      </w:r>
      <w:r w:rsidRPr="00F279D3">
        <w:rPr>
          <w:rFonts w:asciiTheme="minorHAnsi" w:hAnsiTheme="minorHAnsi" w:cstheme="minorHAnsi"/>
          <w:bCs/>
          <w:sz w:val="22"/>
          <w:szCs w:val="22"/>
          <w:lang w:val="en-US"/>
        </w:rPr>
        <w:t xml:space="preserve">. </w:t>
      </w:r>
    </w:p>
    <w:p w14:paraId="555EB96B" w14:textId="1B2E9213" w:rsidR="007E7E06" w:rsidRPr="00925B91" w:rsidRDefault="007E7E06" w:rsidP="00AC3722">
      <w:pPr>
        <w:pStyle w:val="ListParagraph"/>
        <w:ind w:left="0"/>
        <w:jc w:val="both"/>
        <w:rPr>
          <w:rFonts w:asciiTheme="minorHAnsi" w:hAnsiTheme="minorHAnsi" w:cstheme="minorHAnsi"/>
          <w:sz w:val="22"/>
          <w:szCs w:val="22"/>
          <w:lang w:val="en-US"/>
        </w:rPr>
      </w:pPr>
      <w:r w:rsidRPr="00925B91">
        <w:rPr>
          <w:rFonts w:asciiTheme="minorHAnsi" w:hAnsiTheme="minorHAnsi" w:cstheme="minorHAnsi"/>
          <w:b/>
          <w:sz w:val="22"/>
          <w:szCs w:val="22"/>
          <w:lang w:val="en-US"/>
        </w:rPr>
        <w:t>Deliverable #1.10</w:t>
      </w:r>
      <w:r w:rsidR="00AC3722" w:rsidRPr="00925B91">
        <w:rPr>
          <w:rFonts w:asciiTheme="minorHAnsi" w:hAnsiTheme="minorHAnsi" w:cstheme="minorHAnsi"/>
          <w:b/>
          <w:sz w:val="22"/>
          <w:szCs w:val="22"/>
          <w:lang w:val="en-US"/>
        </w:rPr>
        <w:t>:</w:t>
      </w:r>
      <w:r w:rsidRPr="00925B91">
        <w:rPr>
          <w:rFonts w:asciiTheme="minorHAnsi" w:hAnsiTheme="minorHAnsi" w:cstheme="minorHAnsi"/>
          <w:b/>
          <w:sz w:val="22"/>
          <w:szCs w:val="22"/>
          <w:lang w:val="en-US"/>
        </w:rPr>
        <w:t xml:space="preserve"> </w:t>
      </w:r>
      <w:r w:rsidRPr="00925B91">
        <w:rPr>
          <w:rFonts w:asciiTheme="minorHAnsi" w:hAnsiTheme="minorHAnsi" w:cstheme="minorHAnsi"/>
          <w:sz w:val="22"/>
          <w:szCs w:val="22"/>
          <w:lang w:val="en-US"/>
        </w:rPr>
        <w:t xml:space="preserve">Final report with summary of activities developed, the main results associated with the project and the process of integrating the </w:t>
      </w:r>
      <w:r w:rsidR="00B1153B">
        <w:rPr>
          <w:rFonts w:asciiTheme="minorHAnsi" w:eastAsia="MS Mincho" w:hAnsiTheme="minorHAnsi" w:cstheme="minorHAnsi"/>
          <w:sz w:val="22"/>
          <w:szCs w:val="22"/>
          <w:lang w:val="en-US"/>
        </w:rPr>
        <w:t>Critical pathway for compliance of the mitigation commitments under the Paris Agreement</w:t>
      </w:r>
      <w:r w:rsidRPr="00925B91">
        <w:rPr>
          <w:rFonts w:asciiTheme="minorHAnsi" w:hAnsiTheme="minorHAnsi" w:cstheme="minorHAnsi"/>
          <w:sz w:val="22"/>
          <w:szCs w:val="22"/>
          <w:lang w:val="en-US"/>
        </w:rPr>
        <w:t>.</w:t>
      </w:r>
      <w:r w:rsidR="00FD038C" w:rsidRPr="00FD038C">
        <w:rPr>
          <w:rFonts w:asciiTheme="minorHAnsi" w:hAnsiTheme="minorHAnsi" w:cstheme="minorHAnsi"/>
          <w:sz w:val="22"/>
          <w:szCs w:val="22"/>
          <w:lang w:val="en-US"/>
        </w:rPr>
        <w:t xml:space="preserve"> (</w:t>
      </w:r>
      <w:proofErr w:type="gramStart"/>
      <w:r w:rsidR="00FD038C" w:rsidRPr="00FD038C">
        <w:rPr>
          <w:rFonts w:asciiTheme="minorHAnsi" w:hAnsiTheme="minorHAnsi" w:cstheme="minorHAnsi"/>
          <w:sz w:val="22"/>
          <w:szCs w:val="22"/>
          <w:lang w:val="en-US"/>
        </w:rPr>
        <w:t>in</w:t>
      </w:r>
      <w:proofErr w:type="gramEnd"/>
      <w:r w:rsidR="00FD038C" w:rsidRPr="00FD038C">
        <w:rPr>
          <w:rFonts w:asciiTheme="minorHAnsi" w:hAnsiTheme="minorHAnsi" w:cstheme="minorHAnsi"/>
          <w:sz w:val="22"/>
          <w:szCs w:val="22"/>
          <w:lang w:val="en-US"/>
        </w:rPr>
        <w:t xml:space="preserve"> a collaborative effort with Local Consultants #1, #2 and #</w:t>
      </w:r>
      <w:r w:rsidR="00FD038C">
        <w:rPr>
          <w:rFonts w:asciiTheme="minorHAnsi" w:hAnsiTheme="minorHAnsi" w:cstheme="minorHAnsi"/>
          <w:sz w:val="22"/>
          <w:szCs w:val="22"/>
          <w:lang w:val="en-US"/>
        </w:rPr>
        <w:t>3</w:t>
      </w:r>
      <w:r w:rsidR="00FD038C" w:rsidRPr="00FD038C">
        <w:rPr>
          <w:rFonts w:asciiTheme="minorHAnsi" w:hAnsiTheme="minorHAnsi" w:cstheme="minorHAnsi"/>
          <w:sz w:val="22"/>
          <w:szCs w:val="22"/>
          <w:lang w:val="en-US"/>
        </w:rPr>
        <w:t>).</w:t>
      </w:r>
    </w:p>
    <w:p w14:paraId="618A6EA3" w14:textId="77777777" w:rsidR="007E7E06" w:rsidRPr="00F279D3" w:rsidRDefault="007E7E06" w:rsidP="00295F01">
      <w:pPr>
        <w:tabs>
          <w:tab w:val="left" w:pos="1201"/>
          <w:tab w:val="left" w:pos="4824"/>
        </w:tabs>
        <w:jc w:val="both"/>
        <w:rPr>
          <w:rFonts w:asciiTheme="minorHAnsi" w:hAnsiTheme="minorHAnsi" w:cstheme="minorHAnsi"/>
          <w:sz w:val="22"/>
          <w:szCs w:val="22"/>
          <w:lang w:val="en-US"/>
        </w:rPr>
      </w:pPr>
    </w:p>
    <w:p w14:paraId="25C84C53" w14:textId="67DD55E8" w:rsidR="000C7506" w:rsidRPr="00925B91" w:rsidRDefault="000C7506" w:rsidP="00A85C56">
      <w:pPr>
        <w:pStyle w:val="ListParagraph"/>
        <w:numPr>
          <w:ilvl w:val="0"/>
          <w:numId w:val="1"/>
        </w:numPr>
        <w:spacing w:before="120" w:after="120"/>
        <w:ind w:left="284"/>
        <w:jc w:val="both"/>
        <w:rPr>
          <w:rFonts w:asciiTheme="minorHAnsi" w:eastAsia="Calibri" w:hAnsiTheme="minorHAnsi" w:cstheme="minorHAnsi"/>
          <w:b/>
          <w:sz w:val="22"/>
          <w:szCs w:val="22"/>
          <w:lang w:val="en-US"/>
        </w:rPr>
      </w:pPr>
      <w:r w:rsidRPr="00925B91">
        <w:rPr>
          <w:rFonts w:asciiTheme="minorHAnsi" w:eastAsia="Calibri" w:hAnsiTheme="minorHAnsi" w:cstheme="minorHAnsi"/>
          <w:b/>
          <w:sz w:val="22"/>
          <w:szCs w:val="22"/>
          <w:lang w:val="en-US"/>
        </w:rPr>
        <w:t>Contract terms</w:t>
      </w:r>
    </w:p>
    <w:p w14:paraId="601D3BE8" w14:textId="49C50F68" w:rsidR="00EF0BED" w:rsidRPr="00925B91" w:rsidRDefault="00CC700E" w:rsidP="00A85C56">
      <w:p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For the implementation of the activities described in the scope of the assignment, the consultant shall provide</w:t>
      </w:r>
      <w:r w:rsidR="004812EF" w:rsidRPr="00925B91">
        <w:rPr>
          <w:rFonts w:asciiTheme="minorHAnsi" w:eastAsia="Calibri" w:hAnsiTheme="minorHAnsi" w:cstheme="minorHAnsi"/>
          <w:sz w:val="22"/>
          <w:szCs w:val="22"/>
          <w:lang w:val="en-US"/>
        </w:rPr>
        <w:t xml:space="preserve"> a </w:t>
      </w:r>
      <w:r w:rsidR="00EF0BED" w:rsidRPr="00925B91">
        <w:rPr>
          <w:rFonts w:asciiTheme="minorHAnsi" w:eastAsia="Calibri" w:hAnsiTheme="minorHAnsi" w:cstheme="minorHAnsi"/>
          <w:b/>
          <w:bCs/>
          <w:sz w:val="22"/>
          <w:szCs w:val="22"/>
          <w:lang w:val="en-US"/>
        </w:rPr>
        <w:t>full-time work</w:t>
      </w:r>
      <w:r w:rsidR="00EF0BED" w:rsidRPr="00925B91">
        <w:rPr>
          <w:rFonts w:asciiTheme="minorHAnsi" w:eastAsia="Calibri" w:hAnsiTheme="minorHAnsi" w:cstheme="minorHAnsi"/>
          <w:sz w:val="22"/>
          <w:szCs w:val="22"/>
          <w:lang w:val="en-US"/>
        </w:rPr>
        <w:t xml:space="preserve"> shift </w:t>
      </w:r>
      <w:r w:rsidR="00EF0BED" w:rsidRPr="00925B91">
        <w:rPr>
          <w:rFonts w:asciiTheme="minorHAnsi" w:eastAsia="Calibri" w:hAnsiTheme="minorHAnsi" w:cstheme="minorHAnsi"/>
          <w:b/>
          <w:bCs/>
          <w:sz w:val="22"/>
          <w:szCs w:val="22"/>
          <w:lang w:val="en-US"/>
        </w:rPr>
        <w:t>for a period of</w:t>
      </w:r>
      <w:r w:rsidRPr="00925B91">
        <w:rPr>
          <w:rFonts w:asciiTheme="minorHAnsi" w:eastAsia="Calibri" w:hAnsiTheme="minorHAnsi" w:cstheme="minorHAnsi"/>
          <w:b/>
          <w:bCs/>
          <w:sz w:val="22"/>
          <w:szCs w:val="22"/>
          <w:lang w:val="en-US"/>
        </w:rPr>
        <w:t xml:space="preserve"> </w:t>
      </w:r>
      <w:r w:rsidR="00605B45" w:rsidRPr="00925B91">
        <w:rPr>
          <w:rFonts w:asciiTheme="minorHAnsi" w:eastAsia="Calibri" w:hAnsiTheme="minorHAnsi" w:cstheme="minorHAnsi"/>
          <w:b/>
          <w:bCs/>
          <w:sz w:val="22"/>
          <w:szCs w:val="22"/>
          <w:lang w:val="en-US"/>
        </w:rPr>
        <w:t>11</w:t>
      </w:r>
      <w:r w:rsidR="00105F9F" w:rsidRPr="00925B91">
        <w:rPr>
          <w:rFonts w:asciiTheme="minorHAnsi" w:eastAsia="Calibri" w:hAnsiTheme="minorHAnsi" w:cstheme="minorHAnsi"/>
          <w:b/>
          <w:bCs/>
          <w:sz w:val="22"/>
          <w:szCs w:val="22"/>
          <w:lang w:val="en-US"/>
        </w:rPr>
        <w:t xml:space="preserve"> months</w:t>
      </w:r>
      <w:r w:rsidRPr="00925B91">
        <w:rPr>
          <w:rFonts w:asciiTheme="minorHAnsi" w:eastAsia="Calibri" w:hAnsiTheme="minorHAnsi" w:cstheme="minorHAnsi"/>
          <w:sz w:val="22"/>
          <w:szCs w:val="22"/>
          <w:lang w:val="en-US"/>
        </w:rPr>
        <w:t>.</w:t>
      </w:r>
      <w:r w:rsidR="00EF0BED" w:rsidRPr="00925B91">
        <w:rPr>
          <w:rFonts w:asciiTheme="minorHAnsi" w:eastAsia="Calibri" w:hAnsiTheme="minorHAnsi" w:cstheme="minorHAnsi"/>
          <w:sz w:val="22"/>
          <w:szCs w:val="22"/>
          <w:lang w:val="en-US"/>
        </w:rPr>
        <w:t xml:space="preserve"> Due to the COVID situation, the consultant work will be a home-office modality. Semarnat will provide a physical space in its facilities if sanitary conditions allow it. </w:t>
      </w:r>
    </w:p>
    <w:p w14:paraId="13442A51" w14:textId="645B7B00" w:rsidR="00EF0BED" w:rsidRPr="00925B91" w:rsidRDefault="00EF0BED" w:rsidP="00A85C56">
      <w:p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The consultant is responsible for the equipment required to accomplish its duties. </w:t>
      </w:r>
    </w:p>
    <w:p w14:paraId="2FC26E3E" w14:textId="1EA7AD04" w:rsidR="006F6B55" w:rsidRPr="0089299B" w:rsidRDefault="00105F9F" w:rsidP="00925B91">
      <w:p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For implementing the activities and deliverables specified in this </w:t>
      </w:r>
      <w:proofErr w:type="spellStart"/>
      <w:r w:rsidRPr="00925B91">
        <w:rPr>
          <w:rFonts w:asciiTheme="minorHAnsi" w:eastAsia="Calibri" w:hAnsiTheme="minorHAnsi" w:cstheme="minorHAnsi"/>
          <w:sz w:val="22"/>
          <w:szCs w:val="22"/>
          <w:lang w:val="en-US"/>
        </w:rPr>
        <w:t>To</w:t>
      </w:r>
      <w:r w:rsidR="0042666E" w:rsidRPr="00925B91">
        <w:rPr>
          <w:rFonts w:asciiTheme="minorHAnsi" w:eastAsia="Calibri" w:hAnsiTheme="minorHAnsi" w:cstheme="minorHAnsi"/>
          <w:sz w:val="22"/>
          <w:szCs w:val="22"/>
          <w:lang w:val="en-US"/>
        </w:rPr>
        <w:t>R</w:t>
      </w:r>
      <w:proofErr w:type="spellEnd"/>
      <w:r w:rsidR="0042666E" w:rsidRPr="00925B91">
        <w:rPr>
          <w:rFonts w:asciiTheme="minorHAnsi" w:eastAsia="Calibri" w:hAnsiTheme="minorHAnsi" w:cstheme="minorHAnsi"/>
          <w:sz w:val="22"/>
          <w:szCs w:val="22"/>
          <w:lang w:val="en-US"/>
        </w:rPr>
        <w:t xml:space="preserve">, the consultant will receive </w:t>
      </w:r>
      <w:r w:rsidRPr="00925B91">
        <w:rPr>
          <w:rFonts w:asciiTheme="minorHAnsi" w:eastAsia="Calibri" w:hAnsiTheme="minorHAnsi" w:cstheme="minorHAnsi"/>
          <w:sz w:val="22"/>
          <w:szCs w:val="22"/>
          <w:lang w:val="en-US"/>
        </w:rPr>
        <w:t xml:space="preserve">a </w:t>
      </w:r>
      <w:r w:rsidRPr="00925B91">
        <w:rPr>
          <w:rFonts w:asciiTheme="minorHAnsi" w:eastAsia="Calibri" w:hAnsiTheme="minorHAnsi" w:cstheme="minorHAnsi"/>
          <w:b/>
          <w:bCs/>
          <w:sz w:val="22"/>
          <w:szCs w:val="22"/>
          <w:lang w:val="en-US"/>
        </w:rPr>
        <w:t>total amount of $</w:t>
      </w:r>
      <w:r w:rsidR="00C66D5C" w:rsidRPr="00925B91">
        <w:rPr>
          <w:rFonts w:asciiTheme="minorHAnsi" w:eastAsia="Calibri" w:hAnsiTheme="minorHAnsi" w:cstheme="minorHAnsi"/>
          <w:b/>
          <w:bCs/>
          <w:sz w:val="22"/>
          <w:szCs w:val="22"/>
          <w:lang w:val="en-US"/>
        </w:rPr>
        <w:t>13,200</w:t>
      </w:r>
      <w:r w:rsidR="00953E17" w:rsidRPr="00925B91">
        <w:rPr>
          <w:rFonts w:asciiTheme="minorHAnsi" w:eastAsia="Calibri" w:hAnsiTheme="minorHAnsi" w:cstheme="minorHAnsi"/>
          <w:b/>
          <w:bCs/>
          <w:sz w:val="22"/>
          <w:szCs w:val="22"/>
          <w:lang w:val="en-US"/>
        </w:rPr>
        <w:t xml:space="preserve"> </w:t>
      </w:r>
      <w:r w:rsidRPr="00925B91">
        <w:rPr>
          <w:rFonts w:asciiTheme="minorHAnsi" w:eastAsia="Calibri" w:hAnsiTheme="minorHAnsi" w:cstheme="minorHAnsi"/>
          <w:b/>
          <w:bCs/>
          <w:sz w:val="22"/>
          <w:szCs w:val="22"/>
          <w:lang w:val="en-US"/>
        </w:rPr>
        <w:t>USD</w:t>
      </w:r>
      <w:r w:rsidRPr="00925B91">
        <w:rPr>
          <w:rFonts w:asciiTheme="minorHAnsi" w:eastAsia="Calibri" w:hAnsiTheme="minorHAnsi" w:cstheme="minorHAnsi"/>
          <w:sz w:val="22"/>
          <w:szCs w:val="22"/>
          <w:lang w:val="en-US"/>
        </w:rPr>
        <w:t>. This amount will be paid according to the delivery of deliverables, as previously described</w:t>
      </w:r>
      <w:r w:rsidR="00F73C76">
        <w:rPr>
          <w:rFonts w:asciiTheme="minorHAnsi" w:eastAsia="Calibri" w:hAnsiTheme="minorHAnsi" w:cstheme="minorHAnsi"/>
          <w:sz w:val="22"/>
          <w:szCs w:val="22"/>
          <w:lang w:val="en-US"/>
        </w:rPr>
        <w:t>.</w:t>
      </w:r>
      <w:r w:rsidRPr="00925B91">
        <w:rPr>
          <w:rFonts w:asciiTheme="minorHAnsi" w:eastAsia="Calibri" w:hAnsiTheme="minorHAnsi" w:cstheme="minorHAnsi"/>
          <w:sz w:val="22"/>
          <w:szCs w:val="22"/>
          <w:lang w:val="en-US"/>
        </w:rPr>
        <w:t xml:space="preserve"> </w:t>
      </w:r>
    </w:p>
    <w:tbl>
      <w:tblPr>
        <w:tblW w:w="843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9"/>
        <w:gridCol w:w="1276"/>
        <w:gridCol w:w="1163"/>
        <w:gridCol w:w="4790"/>
      </w:tblGrid>
      <w:tr w:rsidR="006F6B55" w:rsidRPr="00BD5EB6" w14:paraId="525ECD76" w14:textId="77777777" w:rsidTr="0089299B">
        <w:trPr>
          <w:trHeight w:val="467"/>
        </w:trPr>
        <w:tc>
          <w:tcPr>
            <w:tcW w:w="1209" w:type="dxa"/>
            <w:tcBorders>
              <w:top w:val="single" w:sz="4" w:space="0" w:color="000000"/>
              <w:left w:val="single" w:sz="4" w:space="0" w:color="000000"/>
              <w:bottom w:val="single" w:sz="4" w:space="0" w:color="000000"/>
              <w:right w:val="single" w:sz="4" w:space="0" w:color="000000"/>
            </w:tcBorders>
            <w:vAlign w:val="center"/>
            <w:hideMark/>
          </w:tcPr>
          <w:p w14:paraId="510C1305" w14:textId="77777777" w:rsidR="006F6B55" w:rsidRPr="0089299B" w:rsidRDefault="006F6B55" w:rsidP="0089299B">
            <w:pPr>
              <w:spacing w:after="120"/>
              <w:rPr>
                <w:rFonts w:asciiTheme="minorHAnsi" w:eastAsia="Calibri" w:hAnsiTheme="minorHAnsi" w:cstheme="minorHAnsi"/>
                <w:b/>
                <w:sz w:val="22"/>
                <w:szCs w:val="22"/>
                <w:lang w:val="en-US"/>
              </w:rPr>
            </w:pPr>
            <w:r w:rsidRPr="0089299B">
              <w:rPr>
                <w:rFonts w:asciiTheme="minorHAnsi" w:eastAsia="Calibri" w:hAnsiTheme="minorHAnsi" w:cstheme="minorHAnsi"/>
                <w:b/>
                <w:sz w:val="22"/>
                <w:szCs w:val="22"/>
                <w:lang w:val="en-US"/>
              </w:rPr>
              <w:t>Timeline</w:t>
            </w:r>
          </w:p>
        </w:tc>
        <w:tc>
          <w:tcPr>
            <w:tcW w:w="1276" w:type="dxa"/>
            <w:tcBorders>
              <w:top w:val="single" w:sz="4" w:space="0" w:color="000000"/>
              <w:left w:val="single" w:sz="4" w:space="0" w:color="000000"/>
              <w:bottom w:val="single" w:sz="4" w:space="0" w:color="000000"/>
              <w:right w:val="single" w:sz="4" w:space="0" w:color="000000"/>
            </w:tcBorders>
            <w:vAlign w:val="center"/>
          </w:tcPr>
          <w:p w14:paraId="57428021" w14:textId="77777777" w:rsidR="006F6B55" w:rsidRPr="0089299B" w:rsidRDefault="006F6B55" w:rsidP="0089299B">
            <w:pPr>
              <w:spacing w:after="120"/>
              <w:rPr>
                <w:rFonts w:asciiTheme="minorHAnsi" w:eastAsia="Calibri" w:hAnsiTheme="minorHAnsi" w:cstheme="minorHAnsi"/>
                <w:b/>
                <w:sz w:val="22"/>
                <w:szCs w:val="22"/>
                <w:lang w:val="en-US"/>
              </w:rPr>
            </w:pPr>
            <w:r w:rsidRPr="0089299B">
              <w:rPr>
                <w:rFonts w:asciiTheme="minorHAnsi" w:eastAsia="Calibri" w:hAnsiTheme="minorHAnsi" w:cstheme="minorHAnsi"/>
                <w:b/>
                <w:sz w:val="22"/>
                <w:szCs w:val="22"/>
                <w:lang w:val="en-US"/>
              </w:rPr>
              <w:t>Related deliverable</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2D3A5F9C" w14:textId="77777777" w:rsidR="006F6B55" w:rsidRPr="0089299B" w:rsidRDefault="006F6B55" w:rsidP="0089299B">
            <w:pPr>
              <w:spacing w:after="120"/>
              <w:rPr>
                <w:rFonts w:asciiTheme="minorHAnsi" w:eastAsia="Calibri" w:hAnsiTheme="minorHAnsi" w:cstheme="minorHAnsi"/>
                <w:b/>
                <w:sz w:val="22"/>
                <w:szCs w:val="22"/>
                <w:lang w:val="en-US"/>
              </w:rPr>
            </w:pPr>
            <w:r w:rsidRPr="0089299B">
              <w:rPr>
                <w:rFonts w:asciiTheme="minorHAnsi" w:eastAsia="Calibri" w:hAnsiTheme="minorHAnsi" w:cstheme="minorHAnsi"/>
                <w:b/>
                <w:sz w:val="22"/>
                <w:szCs w:val="22"/>
                <w:lang w:val="en-US"/>
              </w:rPr>
              <w:t>Amount</w:t>
            </w:r>
          </w:p>
        </w:tc>
        <w:tc>
          <w:tcPr>
            <w:tcW w:w="4790" w:type="dxa"/>
            <w:tcBorders>
              <w:top w:val="single" w:sz="4" w:space="0" w:color="000000"/>
              <w:left w:val="single" w:sz="4" w:space="0" w:color="000000"/>
              <w:bottom w:val="single" w:sz="4" w:space="0" w:color="000000"/>
              <w:right w:val="single" w:sz="4" w:space="0" w:color="000000"/>
            </w:tcBorders>
            <w:vAlign w:val="center"/>
            <w:hideMark/>
          </w:tcPr>
          <w:p w14:paraId="3372B38C" w14:textId="77777777" w:rsidR="006F6B55" w:rsidRPr="0089299B" w:rsidRDefault="006F6B55" w:rsidP="0089299B">
            <w:pPr>
              <w:spacing w:after="120"/>
              <w:rPr>
                <w:rFonts w:asciiTheme="minorHAnsi" w:eastAsia="Calibri" w:hAnsiTheme="minorHAnsi" w:cstheme="minorHAnsi"/>
                <w:b/>
                <w:sz w:val="22"/>
                <w:szCs w:val="22"/>
                <w:lang w:val="en-US"/>
              </w:rPr>
            </w:pPr>
            <w:r w:rsidRPr="0089299B">
              <w:rPr>
                <w:rFonts w:asciiTheme="minorHAnsi" w:eastAsia="Calibri" w:hAnsiTheme="minorHAnsi" w:cstheme="minorHAnsi"/>
                <w:b/>
                <w:sz w:val="22"/>
                <w:szCs w:val="22"/>
                <w:lang w:val="en-US"/>
              </w:rPr>
              <w:t>Payment conditions</w:t>
            </w:r>
          </w:p>
        </w:tc>
      </w:tr>
      <w:tr w:rsidR="006F6B55" w:rsidRPr="002F39BD" w14:paraId="5349257F" w14:textId="77777777" w:rsidTr="0089299B">
        <w:tc>
          <w:tcPr>
            <w:tcW w:w="1209" w:type="dxa"/>
            <w:tcBorders>
              <w:top w:val="single" w:sz="4" w:space="0" w:color="000000"/>
              <w:left w:val="single" w:sz="4" w:space="0" w:color="000000"/>
              <w:bottom w:val="single" w:sz="4" w:space="0" w:color="000000"/>
              <w:right w:val="single" w:sz="4" w:space="0" w:color="000000"/>
            </w:tcBorders>
            <w:vAlign w:val="center"/>
          </w:tcPr>
          <w:p w14:paraId="19FD0C46" w14:textId="10C05692" w:rsidR="006F6B55" w:rsidRPr="0089299B" w:rsidRDefault="001168B7" w:rsidP="0089299B">
            <w:pPr>
              <w:spacing w:after="120"/>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January 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1BCC9C31"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D.1.1</w:t>
            </w:r>
          </w:p>
        </w:tc>
        <w:tc>
          <w:tcPr>
            <w:tcW w:w="1163" w:type="dxa"/>
            <w:tcBorders>
              <w:top w:val="single" w:sz="4" w:space="0" w:color="000000"/>
              <w:left w:val="single" w:sz="4" w:space="0" w:color="000000"/>
              <w:bottom w:val="single" w:sz="4" w:space="0" w:color="000000"/>
              <w:right w:val="single" w:sz="4" w:space="0" w:color="000000"/>
            </w:tcBorders>
            <w:vAlign w:val="center"/>
          </w:tcPr>
          <w:p w14:paraId="1390D793" w14:textId="07E4C782" w:rsidR="006F6B55" w:rsidRPr="0089299B" w:rsidRDefault="006F6B55" w:rsidP="006F6B55">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 xml:space="preserve">$ </w:t>
            </w:r>
            <w:r>
              <w:rPr>
                <w:rFonts w:asciiTheme="minorHAnsi" w:eastAsia="Calibri" w:hAnsiTheme="minorHAnsi" w:cstheme="minorHAnsi"/>
                <w:sz w:val="22"/>
                <w:szCs w:val="22"/>
                <w:lang w:val="en-US"/>
              </w:rPr>
              <w:t>1,320</w:t>
            </w:r>
            <w:r w:rsidRPr="0089299B">
              <w:rPr>
                <w:rFonts w:asciiTheme="minorHAnsi" w:eastAsia="Calibri" w:hAnsiTheme="minorHAnsi" w:cstheme="minorHAnsi"/>
                <w:sz w:val="22"/>
                <w:szCs w:val="22"/>
                <w:lang w:val="en-US"/>
              </w:rPr>
              <w:t xml:space="preserve"> USD</w:t>
            </w:r>
          </w:p>
        </w:tc>
        <w:tc>
          <w:tcPr>
            <w:tcW w:w="4790" w:type="dxa"/>
            <w:vMerge w:val="restart"/>
            <w:tcBorders>
              <w:top w:val="single" w:sz="4" w:space="0" w:color="000000"/>
              <w:left w:val="single" w:sz="4" w:space="0" w:color="000000"/>
              <w:right w:val="single" w:sz="4" w:space="0" w:color="000000"/>
            </w:tcBorders>
            <w:vAlign w:val="center"/>
          </w:tcPr>
          <w:p w14:paraId="36AAD8BA"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Every payment will be upon submission of signed invoice alongside with bi-monthly progress reports and corresponding deliverables approved by the national ICAT focal point.</w:t>
            </w:r>
          </w:p>
        </w:tc>
      </w:tr>
      <w:tr w:rsidR="006F6B55" w:rsidRPr="00BD5EB6" w14:paraId="7F424116" w14:textId="77777777" w:rsidTr="0089299B">
        <w:tc>
          <w:tcPr>
            <w:tcW w:w="1209" w:type="dxa"/>
            <w:tcBorders>
              <w:top w:val="single" w:sz="4" w:space="0" w:color="000000"/>
              <w:left w:val="single" w:sz="4" w:space="0" w:color="000000"/>
              <w:bottom w:val="single" w:sz="4" w:space="0" w:color="000000"/>
              <w:right w:val="single" w:sz="4" w:space="0" w:color="000000"/>
            </w:tcBorders>
            <w:vAlign w:val="center"/>
          </w:tcPr>
          <w:p w14:paraId="38304F61" w14:textId="57B9358A" w:rsidR="006F6B55" w:rsidRPr="0089299B" w:rsidRDefault="001168B7" w:rsidP="0089299B">
            <w:pPr>
              <w:spacing w:after="120"/>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February 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306218B3"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D.1.2</w:t>
            </w:r>
          </w:p>
        </w:tc>
        <w:tc>
          <w:tcPr>
            <w:tcW w:w="1163" w:type="dxa"/>
            <w:tcBorders>
              <w:top w:val="single" w:sz="4" w:space="0" w:color="000000"/>
              <w:left w:val="single" w:sz="4" w:space="0" w:color="000000"/>
              <w:bottom w:val="single" w:sz="4" w:space="0" w:color="000000"/>
              <w:right w:val="single" w:sz="4" w:space="0" w:color="000000"/>
            </w:tcBorders>
            <w:vAlign w:val="center"/>
          </w:tcPr>
          <w:p w14:paraId="3E5A6A69"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w:t>
            </w:r>
          </w:p>
        </w:tc>
        <w:tc>
          <w:tcPr>
            <w:tcW w:w="4790" w:type="dxa"/>
            <w:vMerge/>
            <w:tcBorders>
              <w:top w:val="single" w:sz="4" w:space="0" w:color="000000"/>
              <w:left w:val="single" w:sz="4" w:space="0" w:color="000000"/>
              <w:right w:val="single" w:sz="4" w:space="0" w:color="000000"/>
            </w:tcBorders>
            <w:vAlign w:val="center"/>
          </w:tcPr>
          <w:p w14:paraId="2DB120C0" w14:textId="77777777" w:rsidR="006F6B55" w:rsidRPr="0089299B" w:rsidRDefault="006F6B55" w:rsidP="0089299B">
            <w:pPr>
              <w:spacing w:after="120"/>
              <w:rPr>
                <w:rFonts w:asciiTheme="minorHAnsi" w:eastAsia="Calibri" w:hAnsiTheme="minorHAnsi" w:cstheme="minorHAnsi"/>
                <w:sz w:val="22"/>
                <w:szCs w:val="22"/>
                <w:lang w:val="en-US"/>
              </w:rPr>
            </w:pPr>
          </w:p>
        </w:tc>
      </w:tr>
      <w:tr w:rsidR="006F6B55" w:rsidRPr="00BD5EB6" w14:paraId="129B9256" w14:textId="77777777" w:rsidTr="0089299B">
        <w:tc>
          <w:tcPr>
            <w:tcW w:w="1209" w:type="dxa"/>
            <w:tcBorders>
              <w:top w:val="single" w:sz="4" w:space="0" w:color="000000"/>
              <w:left w:val="single" w:sz="4" w:space="0" w:color="000000"/>
              <w:bottom w:val="single" w:sz="4" w:space="0" w:color="000000"/>
              <w:right w:val="single" w:sz="4" w:space="0" w:color="000000"/>
            </w:tcBorders>
            <w:vAlign w:val="center"/>
          </w:tcPr>
          <w:p w14:paraId="2BC7D2F1" w14:textId="17CBADAF" w:rsidR="006F6B55" w:rsidRPr="0089299B" w:rsidRDefault="001168B7" w:rsidP="001168B7">
            <w:pPr>
              <w:spacing w:after="120"/>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March 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2BF43B66"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 xml:space="preserve">D.1.3 </w:t>
            </w:r>
          </w:p>
        </w:tc>
        <w:tc>
          <w:tcPr>
            <w:tcW w:w="1163" w:type="dxa"/>
            <w:tcBorders>
              <w:top w:val="single" w:sz="4" w:space="0" w:color="000000"/>
              <w:left w:val="single" w:sz="4" w:space="0" w:color="000000"/>
              <w:bottom w:val="single" w:sz="4" w:space="0" w:color="000000"/>
              <w:right w:val="single" w:sz="4" w:space="0" w:color="000000"/>
            </w:tcBorders>
            <w:vAlign w:val="center"/>
          </w:tcPr>
          <w:p w14:paraId="53977558" w14:textId="33F11030" w:rsidR="006F6B55" w:rsidRPr="0089299B" w:rsidRDefault="001168B7" w:rsidP="006F6B55">
            <w:pPr>
              <w:spacing w:after="120"/>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w:t>
            </w:r>
          </w:p>
        </w:tc>
        <w:tc>
          <w:tcPr>
            <w:tcW w:w="4790" w:type="dxa"/>
            <w:vMerge/>
            <w:tcBorders>
              <w:left w:val="single" w:sz="4" w:space="0" w:color="000000"/>
              <w:right w:val="single" w:sz="4" w:space="0" w:color="000000"/>
            </w:tcBorders>
            <w:vAlign w:val="center"/>
          </w:tcPr>
          <w:p w14:paraId="747DA122" w14:textId="77777777" w:rsidR="006F6B55" w:rsidRPr="0089299B" w:rsidRDefault="006F6B55" w:rsidP="0089299B">
            <w:pPr>
              <w:spacing w:after="120"/>
              <w:rPr>
                <w:rFonts w:asciiTheme="minorHAnsi" w:eastAsia="Calibri" w:hAnsiTheme="minorHAnsi" w:cstheme="minorHAnsi"/>
                <w:sz w:val="22"/>
                <w:szCs w:val="22"/>
                <w:lang w:val="en-US"/>
              </w:rPr>
            </w:pPr>
          </w:p>
        </w:tc>
      </w:tr>
      <w:tr w:rsidR="006F6B55" w:rsidRPr="00BD5EB6" w14:paraId="411D4845" w14:textId="77777777" w:rsidTr="0089299B">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9FD1" w14:textId="3A574ABB" w:rsidR="006F6B55" w:rsidRPr="0089299B" w:rsidRDefault="001168B7" w:rsidP="001168B7">
            <w:pPr>
              <w:spacing w:after="120"/>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May</w:t>
            </w:r>
            <w:r w:rsidR="006F6B55" w:rsidRPr="0089299B">
              <w:rPr>
                <w:rFonts w:asciiTheme="minorHAnsi" w:eastAsia="Calibri" w:hAnsiTheme="minorHAnsi" w:cstheme="minorHAnsi"/>
                <w:sz w:val="22"/>
                <w:szCs w:val="22"/>
                <w:lang w:val="en-US"/>
              </w:rPr>
              <w:t xml:space="preserve"> 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50612" w14:textId="4FB93798" w:rsidR="006F6B55" w:rsidRPr="0089299B" w:rsidRDefault="006F6B55" w:rsidP="006F6B55">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D.1.</w:t>
            </w:r>
            <w:r>
              <w:rPr>
                <w:rFonts w:asciiTheme="minorHAnsi" w:eastAsia="Calibri" w:hAnsiTheme="minorHAnsi" w:cstheme="minorHAnsi"/>
                <w:sz w:val="22"/>
                <w:szCs w:val="22"/>
                <w:lang w:val="en-US"/>
              </w:rPr>
              <w:t>5</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9ECF" w14:textId="15C18277" w:rsidR="006F6B55" w:rsidRPr="0089299B" w:rsidRDefault="006F6B55" w:rsidP="006F6B55">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 xml:space="preserve">$ </w:t>
            </w:r>
            <w:r w:rsidR="001168B7">
              <w:rPr>
                <w:rFonts w:asciiTheme="minorHAnsi" w:eastAsia="Calibri" w:hAnsiTheme="minorHAnsi" w:cstheme="minorHAnsi"/>
                <w:sz w:val="22"/>
                <w:szCs w:val="22"/>
                <w:lang w:val="en-US"/>
              </w:rPr>
              <w:t>5,280</w:t>
            </w:r>
            <w:r w:rsidRPr="0089299B">
              <w:rPr>
                <w:rFonts w:asciiTheme="minorHAnsi" w:eastAsia="Calibri" w:hAnsiTheme="minorHAnsi" w:cstheme="minorHAnsi"/>
                <w:sz w:val="22"/>
                <w:szCs w:val="22"/>
                <w:lang w:val="en-US"/>
              </w:rPr>
              <w:t xml:space="preserve"> USD</w:t>
            </w:r>
          </w:p>
        </w:tc>
        <w:tc>
          <w:tcPr>
            <w:tcW w:w="4790" w:type="dxa"/>
            <w:vMerge/>
            <w:tcBorders>
              <w:left w:val="single" w:sz="4" w:space="0" w:color="000000"/>
              <w:right w:val="single" w:sz="4" w:space="0" w:color="000000"/>
            </w:tcBorders>
            <w:vAlign w:val="center"/>
          </w:tcPr>
          <w:p w14:paraId="16471C81" w14:textId="77777777" w:rsidR="006F6B55" w:rsidRPr="0089299B" w:rsidRDefault="006F6B55" w:rsidP="0089299B">
            <w:pPr>
              <w:spacing w:after="120"/>
              <w:rPr>
                <w:rFonts w:asciiTheme="minorHAnsi" w:eastAsia="Calibri" w:hAnsiTheme="minorHAnsi" w:cstheme="minorHAnsi"/>
                <w:sz w:val="22"/>
                <w:szCs w:val="22"/>
                <w:lang w:val="en-US"/>
              </w:rPr>
            </w:pPr>
          </w:p>
        </w:tc>
      </w:tr>
      <w:tr w:rsidR="006F6B55" w:rsidRPr="00BD5EB6" w14:paraId="7C38D2A8" w14:textId="77777777" w:rsidTr="0089299B">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5CE1" w14:textId="0639C279" w:rsidR="006F6B55" w:rsidRPr="0089299B" w:rsidDel="00E97B6D" w:rsidRDefault="001168B7" w:rsidP="0089299B">
            <w:pPr>
              <w:spacing w:after="120"/>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July</w:t>
            </w:r>
            <w:r w:rsidR="006F6B55" w:rsidRPr="0089299B">
              <w:rPr>
                <w:rFonts w:asciiTheme="minorHAnsi" w:eastAsia="Calibri" w:hAnsiTheme="minorHAnsi" w:cstheme="minorHAnsi"/>
                <w:sz w:val="22"/>
                <w:szCs w:val="22"/>
                <w:lang w:val="en-US"/>
              </w:rPr>
              <w:t xml:space="preserve"> 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E719"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D1.7</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38F3D"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w:t>
            </w:r>
          </w:p>
        </w:tc>
        <w:tc>
          <w:tcPr>
            <w:tcW w:w="4790" w:type="dxa"/>
            <w:vMerge/>
            <w:tcBorders>
              <w:left w:val="single" w:sz="4" w:space="0" w:color="000000"/>
              <w:right w:val="single" w:sz="4" w:space="0" w:color="000000"/>
            </w:tcBorders>
            <w:vAlign w:val="center"/>
          </w:tcPr>
          <w:p w14:paraId="4ABAD2E1" w14:textId="77777777" w:rsidR="006F6B55" w:rsidRPr="0089299B" w:rsidRDefault="006F6B55" w:rsidP="0089299B">
            <w:pPr>
              <w:spacing w:after="120"/>
              <w:rPr>
                <w:rFonts w:asciiTheme="minorHAnsi" w:eastAsia="Calibri" w:hAnsiTheme="minorHAnsi" w:cstheme="minorHAnsi"/>
                <w:sz w:val="22"/>
                <w:szCs w:val="22"/>
                <w:lang w:val="en-US"/>
              </w:rPr>
            </w:pPr>
          </w:p>
        </w:tc>
      </w:tr>
      <w:tr w:rsidR="006F6B55" w:rsidRPr="00BD5EB6" w14:paraId="4D9B235B" w14:textId="77777777" w:rsidTr="0089299B">
        <w:tc>
          <w:tcPr>
            <w:tcW w:w="1209" w:type="dxa"/>
            <w:tcBorders>
              <w:top w:val="single" w:sz="4" w:space="0" w:color="000000"/>
              <w:left w:val="single" w:sz="4" w:space="0" w:color="000000"/>
              <w:bottom w:val="single" w:sz="4" w:space="0" w:color="000000"/>
              <w:right w:val="single" w:sz="4" w:space="0" w:color="000000"/>
            </w:tcBorders>
            <w:vAlign w:val="center"/>
          </w:tcPr>
          <w:p w14:paraId="2AF67DD4" w14:textId="085AFB0C" w:rsidR="006F6B55" w:rsidRPr="0089299B" w:rsidRDefault="001168B7" w:rsidP="0089299B">
            <w:pPr>
              <w:spacing w:after="120"/>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August</w:t>
            </w:r>
            <w:r w:rsidR="006F6B55" w:rsidRPr="0089299B">
              <w:rPr>
                <w:rFonts w:asciiTheme="minorHAnsi" w:eastAsia="Calibri" w:hAnsiTheme="minorHAnsi" w:cstheme="minorHAnsi"/>
                <w:sz w:val="22"/>
                <w:szCs w:val="22"/>
                <w:lang w:val="en-US"/>
              </w:rPr>
              <w:t xml:space="preserve"> 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4D45FF2A"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D1.8b</w:t>
            </w:r>
          </w:p>
        </w:tc>
        <w:tc>
          <w:tcPr>
            <w:tcW w:w="1163" w:type="dxa"/>
            <w:tcBorders>
              <w:top w:val="single" w:sz="4" w:space="0" w:color="000000"/>
              <w:left w:val="single" w:sz="4" w:space="0" w:color="000000"/>
              <w:bottom w:val="single" w:sz="4" w:space="0" w:color="000000"/>
              <w:right w:val="single" w:sz="4" w:space="0" w:color="000000"/>
            </w:tcBorders>
            <w:vAlign w:val="center"/>
          </w:tcPr>
          <w:p w14:paraId="115ABD3C" w14:textId="441C9D8C" w:rsidR="006F6B55" w:rsidRPr="0089299B" w:rsidRDefault="006F6B55" w:rsidP="006F6B55">
            <w:pPr>
              <w:spacing w:after="120"/>
              <w:rPr>
                <w:rFonts w:asciiTheme="minorHAnsi" w:eastAsia="Calibri" w:hAnsiTheme="minorHAnsi" w:cstheme="minorHAnsi"/>
                <w:sz w:val="22"/>
                <w:szCs w:val="22"/>
                <w:lang w:val="en-US"/>
              </w:rPr>
            </w:pPr>
          </w:p>
        </w:tc>
        <w:tc>
          <w:tcPr>
            <w:tcW w:w="4790" w:type="dxa"/>
            <w:vMerge/>
            <w:tcBorders>
              <w:left w:val="single" w:sz="4" w:space="0" w:color="000000"/>
              <w:right w:val="single" w:sz="4" w:space="0" w:color="000000"/>
            </w:tcBorders>
            <w:vAlign w:val="center"/>
          </w:tcPr>
          <w:p w14:paraId="611A6B81" w14:textId="77777777" w:rsidR="006F6B55" w:rsidRPr="0089299B" w:rsidRDefault="006F6B55" w:rsidP="0089299B">
            <w:pPr>
              <w:spacing w:after="120"/>
              <w:rPr>
                <w:rFonts w:asciiTheme="minorHAnsi" w:eastAsia="Calibri" w:hAnsiTheme="minorHAnsi" w:cstheme="minorHAnsi"/>
                <w:sz w:val="22"/>
                <w:szCs w:val="22"/>
                <w:lang w:val="en-US"/>
              </w:rPr>
            </w:pPr>
          </w:p>
        </w:tc>
      </w:tr>
      <w:tr w:rsidR="006F6B55" w:rsidRPr="00BD5EB6" w14:paraId="53C43C8D" w14:textId="77777777" w:rsidTr="0089299B">
        <w:tc>
          <w:tcPr>
            <w:tcW w:w="1209" w:type="dxa"/>
            <w:tcBorders>
              <w:top w:val="single" w:sz="4" w:space="0" w:color="000000"/>
              <w:left w:val="single" w:sz="4" w:space="0" w:color="000000"/>
              <w:bottom w:val="single" w:sz="4" w:space="0" w:color="000000"/>
              <w:right w:val="single" w:sz="4" w:space="0" w:color="000000"/>
            </w:tcBorders>
            <w:vAlign w:val="center"/>
          </w:tcPr>
          <w:p w14:paraId="53A83EB0" w14:textId="6DB488DA" w:rsidR="006F6B55" w:rsidRPr="0089299B" w:rsidRDefault="001168B7" w:rsidP="0089299B">
            <w:pPr>
              <w:spacing w:after="120"/>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November</w:t>
            </w:r>
            <w:r w:rsidR="006F6B55" w:rsidRPr="0089299B">
              <w:rPr>
                <w:rFonts w:asciiTheme="minorHAnsi" w:eastAsia="Calibri" w:hAnsiTheme="minorHAnsi" w:cstheme="minorHAnsi"/>
                <w:sz w:val="22"/>
                <w:szCs w:val="22"/>
                <w:lang w:val="en-US"/>
              </w:rPr>
              <w:t xml:space="preserve"> 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7879BD9A" w14:textId="77777777" w:rsidR="006F6B55" w:rsidRPr="0089299B" w:rsidRDefault="006F6B55" w:rsidP="0089299B">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D1.10</w:t>
            </w:r>
          </w:p>
        </w:tc>
        <w:tc>
          <w:tcPr>
            <w:tcW w:w="1163" w:type="dxa"/>
            <w:tcBorders>
              <w:top w:val="single" w:sz="4" w:space="0" w:color="000000"/>
              <w:left w:val="single" w:sz="4" w:space="0" w:color="000000"/>
              <w:bottom w:val="single" w:sz="4" w:space="0" w:color="000000"/>
              <w:right w:val="single" w:sz="4" w:space="0" w:color="000000"/>
            </w:tcBorders>
            <w:vAlign w:val="center"/>
          </w:tcPr>
          <w:p w14:paraId="716BAAB6" w14:textId="1C03428B" w:rsidR="006F6B55" w:rsidRPr="0089299B" w:rsidRDefault="006F6B55" w:rsidP="006F6B55">
            <w:pPr>
              <w:spacing w:after="120"/>
              <w:rPr>
                <w:rFonts w:asciiTheme="minorHAnsi" w:eastAsia="Calibri" w:hAnsiTheme="minorHAnsi" w:cstheme="minorHAnsi"/>
                <w:sz w:val="22"/>
                <w:szCs w:val="22"/>
                <w:lang w:val="en-US"/>
              </w:rPr>
            </w:pPr>
            <w:r w:rsidRPr="0089299B">
              <w:rPr>
                <w:rFonts w:asciiTheme="minorHAnsi" w:eastAsia="Calibri" w:hAnsiTheme="minorHAnsi" w:cstheme="minorHAnsi"/>
                <w:sz w:val="22"/>
                <w:szCs w:val="22"/>
                <w:lang w:val="en-US"/>
              </w:rPr>
              <w:t xml:space="preserve">$ </w:t>
            </w:r>
            <w:r w:rsidR="001168B7">
              <w:rPr>
                <w:rFonts w:asciiTheme="minorHAnsi" w:eastAsia="Calibri" w:hAnsiTheme="minorHAnsi" w:cstheme="minorHAnsi"/>
                <w:sz w:val="22"/>
                <w:szCs w:val="22"/>
                <w:lang w:val="en-US"/>
              </w:rPr>
              <w:t>6,</w:t>
            </w:r>
            <w:r>
              <w:rPr>
                <w:rFonts w:asciiTheme="minorHAnsi" w:eastAsia="Calibri" w:hAnsiTheme="minorHAnsi" w:cstheme="minorHAnsi"/>
                <w:sz w:val="22"/>
                <w:szCs w:val="22"/>
                <w:lang w:val="en-US"/>
              </w:rPr>
              <w:t>6</w:t>
            </w:r>
            <w:r w:rsidR="001168B7">
              <w:rPr>
                <w:rFonts w:asciiTheme="minorHAnsi" w:eastAsia="Calibri" w:hAnsiTheme="minorHAnsi" w:cstheme="minorHAnsi"/>
                <w:sz w:val="22"/>
                <w:szCs w:val="22"/>
                <w:lang w:val="en-US"/>
              </w:rPr>
              <w:t>0</w:t>
            </w:r>
            <w:r w:rsidRPr="0089299B">
              <w:rPr>
                <w:rFonts w:asciiTheme="minorHAnsi" w:eastAsia="Calibri" w:hAnsiTheme="minorHAnsi" w:cstheme="minorHAnsi"/>
                <w:sz w:val="22"/>
                <w:szCs w:val="22"/>
                <w:lang w:val="en-US"/>
              </w:rPr>
              <w:t>0 USD</w:t>
            </w:r>
          </w:p>
        </w:tc>
        <w:tc>
          <w:tcPr>
            <w:tcW w:w="4790" w:type="dxa"/>
            <w:vMerge/>
            <w:tcBorders>
              <w:left w:val="single" w:sz="4" w:space="0" w:color="000000"/>
              <w:bottom w:val="single" w:sz="4" w:space="0" w:color="000000"/>
              <w:right w:val="single" w:sz="4" w:space="0" w:color="000000"/>
            </w:tcBorders>
            <w:vAlign w:val="center"/>
          </w:tcPr>
          <w:p w14:paraId="4A810C5E" w14:textId="77777777" w:rsidR="006F6B55" w:rsidRPr="0089299B" w:rsidRDefault="006F6B55" w:rsidP="0089299B">
            <w:pPr>
              <w:spacing w:after="120"/>
              <w:rPr>
                <w:rFonts w:asciiTheme="minorHAnsi" w:eastAsia="Calibri" w:hAnsiTheme="minorHAnsi" w:cstheme="minorHAnsi"/>
                <w:sz w:val="22"/>
                <w:szCs w:val="22"/>
                <w:lang w:val="en-US"/>
              </w:rPr>
            </w:pPr>
          </w:p>
        </w:tc>
      </w:tr>
    </w:tbl>
    <w:p w14:paraId="089AACED" w14:textId="77777777" w:rsidR="006F6B55" w:rsidRPr="00925B91" w:rsidRDefault="006F6B55" w:rsidP="00EC2A76">
      <w:pPr>
        <w:pStyle w:val="ListParagraph"/>
        <w:spacing w:before="120" w:after="120"/>
        <w:ind w:left="284"/>
        <w:jc w:val="both"/>
        <w:rPr>
          <w:rFonts w:asciiTheme="minorHAnsi" w:eastAsia="Calibri" w:hAnsiTheme="minorHAnsi" w:cstheme="minorHAnsi"/>
          <w:b/>
          <w:sz w:val="22"/>
          <w:szCs w:val="22"/>
          <w:lang w:val="en-US"/>
        </w:rPr>
      </w:pPr>
    </w:p>
    <w:p w14:paraId="5F204CA5" w14:textId="39FDB221" w:rsidR="000164C0" w:rsidRPr="00925B91" w:rsidRDefault="003E6952" w:rsidP="00A85C56">
      <w:pPr>
        <w:pStyle w:val="ListParagraph"/>
        <w:numPr>
          <w:ilvl w:val="0"/>
          <w:numId w:val="1"/>
        </w:numPr>
        <w:spacing w:before="120" w:after="120"/>
        <w:ind w:left="284"/>
        <w:jc w:val="both"/>
        <w:rPr>
          <w:rFonts w:asciiTheme="minorHAnsi" w:eastAsia="Calibri" w:hAnsiTheme="minorHAnsi" w:cstheme="minorHAnsi"/>
          <w:b/>
          <w:sz w:val="22"/>
          <w:szCs w:val="22"/>
          <w:lang w:val="en-US"/>
        </w:rPr>
      </w:pPr>
      <w:r w:rsidRPr="00925B91">
        <w:rPr>
          <w:rFonts w:asciiTheme="minorHAnsi" w:eastAsia="Calibri" w:hAnsiTheme="minorHAnsi" w:cstheme="minorHAnsi"/>
          <w:b/>
          <w:sz w:val="22"/>
          <w:szCs w:val="22"/>
          <w:lang w:val="en-US"/>
        </w:rPr>
        <w:t>Qualification r</w:t>
      </w:r>
      <w:r w:rsidR="00681AD0" w:rsidRPr="00925B91">
        <w:rPr>
          <w:rFonts w:asciiTheme="minorHAnsi" w:eastAsia="Calibri" w:hAnsiTheme="minorHAnsi" w:cstheme="minorHAnsi"/>
          <w:b/>
          <w:sz w:val="22"/>
          <w:szCs w:val="22"/>
          <w:lang w:val="en-US"/>
        </w:rPr>
        <w:t>equirements</w:t>
      </w:r>
      <w:r w:rsidR="000164C0" w:rsidRPr="00925B91">
        <w:rPr>
          <w:rFonts w:asciiTheme="minorHAnsi" w:eastAsia="Calibri" w:hAnsiTheme="minorHAnsi" w:cstheme="minorHAnsi"/>
          <w:b/>
          <w:sz w:val="22"/>
          <w:szCs w:val="22"/>
          <w:lang w:val="en-US"/>
        </w:rPr>
        <w:t xml:space="preserve"> </w:t>
      </w:r>
    </w:p>
    <w:p w14:paraId="759D076E" w14:textId="0FAAE733" w:rsidR="00974524" w:rsidRPr="00925B91" w:rsidRDefault="00974524" w:rsidP="00974524">
      <w:pPr>
        <w:spacing w:before="120" w:after="120"/>
        <w:ind w:left="426"/>
        <w:jc w:val="both"/>
        <w:rPr>
          <w:rFonts w:asciiTheme="minorHAnsi" w:eastAsia="Calibri" w:hAnsiTheme="minorHAnsi" w:cstheme="minorHAnsi"/>
          <w:b/>
          <w:bCs/>
          <w:sz w:val="22"/>
          <w:szCs w:val="22"/>
          <w:lang w:val="en-US"/>
        </w:rPr>
      </w:pPr>
      <w:r w:rsidRPr="00925B91">
        <w:rPr>
          <w:rFonts w:asciiTheme="minorHAnsi" w:eastAsia="Calibri" w:hAnsiTheme="minorHAnsi" w:cstheme="minorHAnsi"/>
          <w:b/>
          <w:bCs/>
          <w:sz w:val="22"/>
          <w:szCs w:val="22"/>
          <w:lang w:val="en-US"/>
        </w:rPr>
        <w:t xml:space="preserve">ACADEMIC: </w:t>
      </w:r>
    </w:p>
    <w:p w14:paraId="53959437" w14:textId="444D75F3" w:rsidR="00974524" w:rsidRPr="00925B91" w:rsidRDefault="00974524" w:rsidP="00AC3722">
      <w:pPr>
        <w:spacing w:before="120" w:after="120"/>
        <w:ind w:left="42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Bachelor degree in</w:t>
      </w:r>
      <w:r w:rsidR="005F28A3" w:rsidRPr="00925B91">
        <w:rPr>
          <w:rFonts w:asciiTheme="minorHAnsi" w:eastAsia="Calibri" w:hAnsiTheme="minorHAnsi" w:cstheme="minorHAnsi"/>
          <w:sz w:val="22"/>
          <w:szCs w:val="22"/>
          <w:lang w:val="en-US"/>
        </w:rPr>
        <w:t xml:space="preserve"> statistics, sustainable</w:t>
      </w:r>
      <w:r w:rsidR="00207631" w:rsidRPr="00925B91">
        <w:rPr>
          <w:rFonts w:asciiTheme="minorHAnsi" w:eastAsia="Calibri" w:hAnsiTheme="minorHAnsi" w:cstheme="minorHAnsi"/>
          <w:sz w:val="22"/>
          <w:szCs w:val="22"/>
          <w:lang w:val="en-US"/>
        </w:rPr>
        <w:t xml:space="preserve"> development</w:t>
      </w:r>
      <w:r w:rsidR="005F28A3" w:rsidRPr="00925B91">
        <w:rPr>
          <w:rFonts w:asciiTheme="minorHAnsi" w:eastAsia="Calibri" w:hAnsiTheme="minorHAnsi" w:cstheme="minorHAnsi"/>
          <w:sz w:val="22"/>
          <w:szCs w:val="22"/>
          <w:lang w:val="en-US"/>
        </w:rPr>
        <w:t xml:space="preserve">, </w:t>
      </w:r>
      <w:r w:rsidR="00207631" w:rsidRPr="00925B91">
        <w:rPr>
          <w:rFonts w:asciiTheme="minorHAnsi" w:eastAsia="Calibri" w:hAnsiTheme="minorHAnsi" w:cstheme="minorHAnsi"/>
          <w:sz w:val="22"/>
          <w:szCs w:val="22"/>
          <w:lang w:val="en-US"/>
        </w:rPr>
        <w:t>e</w:t>
      </w:r>
      <w:r w:rsidRPr="00925B91">
        <w:rPr>
          <w:rFonts w:asciiTheme="minorHAnsi" w:eastAsia="Calibri" w:hAnsiTheme="minorHAnsi" w:cstheme="minorHAnsi"/>
          <w:sz w:val="22"/>
          <w:szCs w:val="22"/>
          <w:lang w:val="en-US"/>
        </w:rPr>
        <w:t>nvironmental sciences,</w:t>
      </w:r>
      <w:r w:rsidR="00DF0343" w:rsidRPr="00925B91">
        <w:rPr>
          <w:rFonts w:asciiTheme="minorHAnsi" w:eastAsia="Calibri" w:hAnsiTheme="minorHAnsi" w:cstheme="minorHAnsi"/>
          <w:sz w:val="22"/>
          <w:szCs w:val="22"/>
          <w:lang w:val="en-US"/>
        </w:rPr>
        <w:t xml:space="preserve"> </w:t>
      </w:r>
      <w:bookmarkStart w:id="4" w:name="_Hlk79108598"/>
      <w:r w:rsidR="00DF0343" w:rsidRPr="00925B91">
        <w:rPr>
          <w:rFonts w:asciiTheme="minorHAnsi" w:eastAsia="Calibri" w:hAnsiTheme="minorHAnsi" w:cstheme="minorHAnsi"/>
          <w:sz w:val="22"/>
          <w:szCs w:val="22"/>
          <w:lang w:val="en-US"/>
        </w:rPr>
        <w:t>environmental engineering</w:t>
      </w:r>
      <w:bookmarkEnd w:id="4"/>
      <w:r w:rsidR="00AC3722" w:rsidRPr="00925B91">
        <w:rPr>
          <w:rFonts w:asciiTheme="minorHAnsi" w:eastAsia="Calibri" w:hAnsiTheme="minorHAnsi" w:cstheme="minorHAnsi"/>
          <w:sz w:val="22"/>
          <w:szCs w:val="22"/>
          <w:lang w:val="en-US"/>
        </w:rPr>
        <w:t xml:space="preserve"> </w:t>
      </w:r>
      <w:r w:rsidRPr="00925B91">
        <w:rPr>
          <w:rFonts w:asciiTheme="minorHAnsi" w:eastAsia="Calibri" w:hAnsiTheme="minorHAnsi" w:cstheme="minorHAnsi"/>
          <w:sz w:val="22"/>
          <w:szCs w:val="22"/>
          <w:lang w:val="en-US"/>
        </w:rPr>
        <w:t xml:space="preserve">or other university degree relevant to environment, climate change, and national development. (required) </w:t>
      </w:r>
    </w:p>
    <w:p w14:paraId="0F116C29" w14:textId="745F1602" w:rsidR="00974524" w:rsidRPr="00925B91" w:rsidRDefault="00974524" w:rsidP="00974524">
      <w:pPr>
        <w:spacing w:before="120" w:after="120"/>
        <w:ind w:left="42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Post-graduate degree in areas relevant to climate change, environment and national development (recommended)</w:t>
      </w:r>
      <w:r w:rsidR="00AC3722" w:rsidRPr="00925B91">
        <w:rPr>
          <w:rFonts w:asciiTheme="minorHAnsi" w:eastAsia="Calibri" w:hAnsiTheme="minorHAnsi" w:cstheme="minorHAnsi"/>
          <w:sz w:val="22"/>
          <w:szCs w:val="22"/>
          <w:lang w:val="en-US"/>
        </w:rPr>
        <w:t>.</w:t>
      </w:r>
    </w:p>
    <w:p w14:paraId="7EDC532B" w14:textId="77777777" w:rsidR="00AC3722" w:rsidRPr="00925B91" w:rsidRDefault="00AC3722" w:rsidP="00974524">
      <w:pPr>
        <w:spacing w:before="120" w:after="120"/>
        <w:ind w:left="426"/>
        <w:jc w:val="both"/>
        <w:rPr>
          <w:rFonts w:asciiTheme="minorHAnsi" w:eastAsia="Calibri" w:hAnsiTheme="minorHAnsi" w:cstheme="minorHAnsi"/>
          <w:sz w:val="22"/>
          <w:szCs w:val="22"/>
          <w:lang w:val="en-US"/>
        </w:rPr>
      </w:pPr>
    </w:p>
    <w:p w14:paraId="04759AC8" w14:textId="6F92AE20" w:rsidR="00974524" w:rsidRPr="00925B91" w:rsidRDefault="00974524" w:rsidP="00974524">
      <w:pPr>
        <w:spacing w:before="120" w:after="120"/>
        <w:ind w:left="426"/>
        <w:jc w:val="both"/>
        <w:rPr>
          <w:rFonts w:asciiTheme="minorHAnsi" w:eastAsia="Calibri" w:hAnsiTheme="minorHAnsi" w:cstheme="minorHAnsi"/>
          <w:b/>
          <w:bCs/>
          <w:sz w:val="22"/>
          <w:szCs w:val="22"/>
          <w:lang w:val="en-US"/>
        </w:rPr>
      </w:pPr>
      <w:r w:rsidRPr="00925B91">
        <w:rPr>
          <w:rFonts w:asciiTheme="minorHAnsi" w:eastAsia="Calibri" w:hAnsiTheme="minorHAnsi" w:cstheme="minorHAnsi"/>
          <w:b/>
          <w:bCs/>
          <w:sz w:val="22"/>
          <w:szCs w:val="22"/>
          <w:lang w:val="en-US"/>
        </w:rPr>
        <w:t xml:space="preserve">PROFESSIONAL: </w:t>
      </w:r>
    </w:p>
    <w:p w14:paraId="05848E29" w14:textId="6E92BF62" w:rsidR="00974524" w:rsidRPr="00925B91" w:rsidRDefault="00974524" w:rsidP="00832D7F">
      <w:pPr>
        <w:spacing w:after="120"/>
        <w:ind w:left="42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 </w:t>
      </w:r>
      <w:proofErr w:type="gramStart"/>
      <w:r w:rsidRPr="00925B91">
        <w:rPr>
          <w:rFonts w:asciiTheme="minorHAnsi" w:eastAsia="Calibri" w:hAnsiTheme="minorHAnsi" w:cstheme="minorHAnsi"/>
          <w:sz w:val="22"/>
          <w:szCs w:val="22"/>
          <w:lang w:val="en-US"/>
        </w:rPr>
        <w:t>A</w:t>
      </w:r>
      <w:proofErr w:type="gramEnd"/>
      <w:r w:rsidRPr="00925B91">
        <w:rPr>
          <w:rFonts w:asciiTheme="minorHAnsi" w:eastAsia="Calibri" w:hAnsiTheme="minorHAnsi" w:cstheme="minorHAnsi"/>
          <w:sz w:val="22"/>
          <w:szCs w:val="22"/>
          <w:lang w:val="en-US"/>
        </w:rPr>
        <w:t xml:space="preserve"> minimum of </w:t>
      </w:r>
      <w:r w:rsidR="009A0E41" w:rsidRPr="00925B91">
        <w:rPr>
          <w:rFonts w:asciiTheme="minorHAnsi" w:eastAsia="Calibri" w:hAnsiTheme="minorHAnsi" w:cstheme="minorHAnsi"/>
          <w:sz w:val="22"/>
          <w:szCs w:val="22"/>
          <w:lang w:val="en-US"/>
        </w:rPr>
        <w:t>3</w:t>
      </w:r>
      <w:r w:rsidRPr="00925B91">
        <w:rPr>
          <w:rFonts w:asciiTheme="minorHAnsi" w:eastAsia="Calibri" w:hAnsiTheme="minorHAnsi" w:cstheme="minorHAnsi"/>
          <w:sz w:val="22"/>
          <w:szCs w:val="22"/>
          <w:lang w:val="en-US"/>
        </w:rPr>
        <w:t xml:space="preserve"> year of professional experience in the areas of public policies, environment, sustainable development and/ or climate change with projects linked to public administration (</w:t>
      </w:r>
      <w:bookmarkStart w:id="5" w:name="_Hlk74174430"/>
      <w:r w:rsidRPr="00925B91">
        <w:rPr>
          <w:rFonts w:asciiTheme="minorHAnsi" w:eastAsia="Calibri" w:hAnsiTheme="minorHAnsi" w:cstheme="minorHAnsi"/>
          <w:sz w:val="22"/>
          <w:szCs w:val="22"/>
          <w:lang w:val="en-US"/>
        </w:rPr>
        <w:t>required</w:t>
      </w:r>
      <w:bookmarkEnd w:id="5"/>
      <w:r w:rsidRPr="00925B91">
        <w:rPr>
          <w:rFonts w:asciiTheme="minorHAnsi" w:eastAsia="Calibri" w:hAnsiTheme="minorHAnsi" w:cstheme="minorHAnsi"/>
          <w:sz w:val="22"/>
          <w:szCs w:val="22"/>
          <w:lang w:val="en-US"/>
        </w:rPr>
        <w:t xml:space="preserve">); </w:t>
      </w:r>
    </w:p>
    <w:p w14:paraId="6106E305" w14:textId="198AFFC5" w:rsidR="00974524" w:rsidRPr="00925B91" w:rsidRDefault="00974524" w:rsidP="00832D7F">
      <w:pPr>
        <w:spacing w:after="120"/>
        <w:ind w:left="42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Demonstrates understanding of Mexico’s national policy related to climate change. (</w:t>
      </w:r>
      <w:proofErr w:type="gramStart"/>
      <w:r w:rsidRPr="00925B91">
        <w:rPr>
          <w:rFonts w:asciiTheme="minorHAnsi" w:eastAsia="Calibri" w:hAnsiTheme="minorHAnsi" w:cstheme="minorHAnsi"/>
          <w:sz w:val="22"/>
          <w:szCs w:val="22"/>
          <w:lang w:val="en-US"/>
        </w:rPr>
        <w:t>required</w:t>
      </w:r>
      <w:proofErr w:type="gramEnd"/>
      <w:r w:rsidRPr="00925B91">
        <w:rPr>
          <w:rFonts w:asciiTheme="minorHAnsi" w:eastAsia="Calibri" w:hAnsiTheme="minorHAnsi" w:cstheme="minorHAnsi"/>
          <w:sz w:val="22"/>
          <w:szCs w:val="22"/>
          <w:lang w:val="en-US"/>
        </w:rPr>
        <w:t xml:space="preserve">); </w:t>
      </w:r>
    </w:p>
    <w:p w14:paraId="14EB6D49" w14:textId="3C295ABE" w:rsidR="00974524" w:rsidRPr="00925B91" w:rsidRDefault="00974524" w:rsidP="00832D7F">
      <w:pPr>
        <w:spacing w:after="120"/>
        <w:ind w:left="42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 Demonstrates knowledge of international climate change frameworks such as UNFCCC (desirable); </w:t>
      </w:r>
    </w:p>
    <w:p w14:paraId="0330411E" w14:textId="37DB7BA6" w:rsidR="00974524" w:rsidRPr="00925B91" w:rsidRDefault="00974524" w:rsidP="00832D7F">
      <w:pPr>
        <w:spacing w:after="120"/>
        <w:ind w:left="42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Experience working with, and building partnerships with public and private sector (desirable).</w:t>
      </w:r>
    </w:p>
    <w:p w14:paraId="2E426251" w14:textId="77777777" w:rsidR="00AC3722" w:rsidRPr="00925B91" w:rsidRDefault="00974524" w:rsidP="00832D7F">
      <w:pPr>
        <w:spacing w:after="120"/>
        <w:ind w:left="42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Experience writing reports and organizing events (</w:t>
      </w:r>
      <w:r w:rsidR="00E4122B" w:rsidRPr="00925B91">
        <w:rPr>
          <w:rFonts w:asciiTheme="minorHAnsi" w:eastAsia="Calibri" w:hAnsiTheme="minorHAnsi" w:cstheme="minorHAnsi"/>
          <w:sz w:val="22"/>
          <w:szCs w:val="22"/>
          <w:lang w:val="en-US"/>
        </w:rPr>
        <w:t>required</w:t>
      </w:r>
      <w:r w:rsidRPr="00925B91">
        <w:rPr>
          <w:rFonts w:asciiTheme="minorHAnsi" w:eastAsia="Calibri" w:hAnsiTheme="minorHAnsi" w:cstheme="minorHAnsi"/>
          <w:sz w:val="22"/>
          <w:szCs w:val="22"/>
          <w:lang w:val="en-US"/>
        </w:rPr>
        <w:t>)</w:t>
      </w:r>
      <w:r w:rsidR="00AC3722" w:rsidRPr="00925B91">
        <w:rPr>
          <w:rFonts w:asciiTheme="minorHAnsi" w:eastAsia="Calibri" w:hAnsiTheme="minorHAnsi" w:cstheme="minorHAnsi"/>
          <w:sz w:val="22"/>
          <w:szCs w:val="22"/>
          <w:lang w:val="en-US"/>
        </w:rPr>
        <w:t>.</w:t>
      </w:r>
    </w:p>
    <w:p w14:paraId="60D59B0B" w14:textId="03F377AA" w:rsidR="00245777" w:rsidRPr="00925B91" w:rsidRDefault="00974524" w:rsidP="00832D7F">
      <w:pPr>
        <w:spacing w:after="120"/>
        <w:ind w:left="426"/>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 </w:t>
      </w:r>
    </w:p>
    <w:p w14:paraId="6EA672EB" w14:textId="77777777" w:rsidR="0045314B" w:rsidRPr="00925B91" w:rsidRDefault="0045314B" w:rsidP="00832D7F">
      <w:pPr>
        <w:spacing w:after="120"/>
        <w:ind w:left="426"/>
        <w:jc w:val="both"/>
        <w:rPr>
          <w:rFonts w:asciiTheme="minorHAnsi" w:eastAsia="Calibri" w:hAnsiTheme="minorHAnsi" w:cstheme="minorHAnsi"/>
          <w:b/>
          <w:bCs/>
          <w:sz w:val="22"/>
          <w:szCs w:val="22"/>
          <w:lang w:val="en-US"/>
        </w:rPr>
      </w:pPr>
      <w:r w:rsidRPr="00925B91">
        <w:rPr>
          <w:rFonts w:asciiTheme="minorHAnsi" w:eastAsia="Calibri" w:hAnsiTheme="minorHAnsi" w:cstheme="minorHAnsi"/>
          <w:b/>
          <w:bCs/>
          <w:sz w:val="22"/>
          <w:szCs w:val="22"/>
          <w:lang w:val="en-US"/>
        </w:rPr>
        <w:t>LANGUAGE:</w:t>
      </w:r>
    </w:p>
    <w:p w14:paraId="0293839B" w14:textId="43C281B0" w:rsidR="0045314B" w:rsidRPr="00925B91" w:rsidRDefault="0045314B" w:rsidP="00832D7F">
      <w:pPr>
        <w:pStyle w:val="ListParagraph"/>
        <w:numPr>
          <w:ilvl w:val="0"/>
          <w:numId w:val="13"/>
        </w:numPr>
        <w:spacing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The candidate must be native in Spanish and have excellent writing, reading and editing skills in English.</w:t>
      </w:r>
      <w:r w:rsidR="00207631" w:rsidRPr="00925B91">
        <w:rPr>
          <w:rFonts w:asciiTheme="minorHAnsi" w:eastAsia="Calibri" w:hAnsiTheme="minorHAnsi" w:cstheme="minorHAnsi"/>
          <w:sz w:val="22"/>
          <w:szCs w:val="22"/>
          <w:lang w:val="en-US"/>
        </w:rPr>
        <w:t xml:space="preserve"> This is going to be evaluate during the interview. </w:t>
      </w:r>
    </w:p>
    <w:p w14:paraId="17F602A0" w14:textId="77777777" w:rsidR="00AC3722" w:rsidRPr="00925B91" w:rsidRDefault="00AC3722" w:rsidP="00AC3722">
      <w:pPr>
        <w:pStyle w:val="ListParagraph"/>
        <w:spacing w:after="120"/>
        <w:jc w:val="both"/>
        <w:rPr>
          <w:rFonts w:asciiTheme="minorHAnsi" w:eastAsia="Calibri" w:hAnsiTheme="minorHAnsi" w:cstheme="minorHAnsi"/>
          <w:sz w:val="22"/>
          <w:szCs w:val="22"/>
          <w:lang w:val="en-US"/>
        </w:rPr>
      </w:pPr>
    </w:p>
    <w:p w14:paraId="702C89E0" w14:textId="77777777" w:rsidR="0045314B" w:rsidRPr="00925B91" w:rsidRDefault="0045314B" w:rsidP="00A85C56">
      <w:pPr>
        <w:spacing w:before="120" w:after="120"/>
        <w:ind w:left="426"/>
        <w:jc w:val="both"/>
        <w:rPr>
          <w:rFonts w:asciiTheme="minorHAnsi" w:eastAsia="Calibri" w:hAnsiTheme="minorHAnsi" w:cstheme="minorHAnsi"/>
          <w:b/>
          <w:bCs/>
          <w:sz w:val="22"/>
          <w:szCs w:val="22"/>
          <w:lang w:val="en-US"/>
        </w:rPr>
      </w:pPr>
      <w:r w:rsidRPr="00925B91">
        <w:rPr>
          <w:rFonts w:asciiTheme="minorHAnsi" w:eastAsia="Calibri" w:hAnsiTheme="minorHAnsi" w:cstheme="minorHAnsi"/>
          <w:b/>
          <w:bCs/>
          <w:sz w:val="22"/>
          <w:szCs w:val="22"/>
          <w:lang w:val="en-US"/>
        </w:rPr>
        <w:t xml:space="preserve">SPECIAL KNOWLEDGE AND SKILLS: </w:t>
      </w:r>
    </w:p>
    <w:p w14:paraId="77B25BE6" w14:textId="77777777" w:rsidR="0045314B" w:rsidRPr="00925B91" w:rsidRDefault="0045314B" w:rsidP="00A85C56">
      <w:pPr>
        <w:spacing w:before="120" w:after="120"/>
        <w:ind w:left="426"/>
        <w:jc w:val="both"/>
        <w:rPr>
          <w:rFonts w:asciiTheme="minorHAnsi" w:eastAsia="Calibri" w:hAnsiTheme="minorHAnsi" w:cstheme="minorHAnsi"/>
          <w:b/>
          <w:bCs/>
          <w:sz w:val="22"/>
          <w:szCs w:val="22"/>
          <w:lang w:val="en-US"/>
        </w:rPr>
      </w:pPr>
      <w:r w:rsidRPr="00925B91">
        <w:rPr>
          <w:rFonts w:asciiTheme="minorHAnsi" w:eastAsia="Calibri" w:hAnsiTheme="minorHAnsi" w:cstheme="minorHAnsi"/>
          <w:b/>
          <w:bCs/>
          <w:sz w:val="22"/>
          <w:szCs w:val="22"/>
          <w:lang w:val="en-US"/>
        </w:rPr>
        <w:t xml:space="preserve">PROFESSIONALISM: </w:t>
      </w:r>
    </w:p>
    <w:p w14:paraId="107C6B56" w14:textId="5E67C948" w:rsidR="0045314B"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Excellent understanding of global and national climate change issues in particular related to transparency </w:t>
      </w:r>
      <w:r w:rsidR="007713B7" w:rsidRPr="00925B91">
        <w:rPr>
          <w:rFonts w:asciiTheme="minorHAnsi" w:eastAsia="Calibri" w:hAnsiTheme="minorHAnsi" w:cstheme="minorHAnsi"/>
          <w:sz w:val="22"/>
          <w:szCs w:val="22"/>
          <w:lang w:val="en-US"/>
        </w:rPr>
        <w:t>and MRV</w:t>
      </w:r>
      <w:r w:rsidRPr="00925B91">
        <w:rPr>
          <w:rFonts w:asciiTheme="minorHAnsi" w:eastAsia="Calibri" w:hAnsiTheme="minorHAnsi" w:cstheme="minorHAnsi"/>
          <w:sz w:val="22"/>
          <w:szCs w:val="22"/>
          <w:lang w:val="en-US"/>
        </w:rPr>
        <w:t>;</w:t>
      </w:r>
    </w:p>
    <w:p w14:paraId="632D1115" w14:textId="6A78A425" w:rsidR="0045314B"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Knowledge and understanding of theories, concepts and approaches relevant to climate change mitigation and adaptation planning; </w:t>
      </w:r>
    </w:p>
    <w:p w14:paraId="2E581FCE" w14:textId="360561E6" w:rsidR="00624008" w:rsidRPr="00925B91" w:rsidRDefault="00624008"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Relationship skills with public and private sector officials</w:t>
      </w:r>
      <w:r w:rsidR="00E4122B" w:rsidRPr="00925B91">
        <w:rPr>
          <w:rFonts w:asciiTheme="minorHAnsi" w:eastAsia="Calibri" w:hAnsiTheme="minorHAnsi" w:cstheme="minorHAnsi"/>
          <w:sz w:val="22"/>
          <w:szCs w:val="22"/>
          <w:lang w:val="en-US"/>
        </w:rPr>
        <w:t xml:space="preserve"> and with academia and NGOs.</w:t>
      </w:r>
    </w:p>
    <w:p w14:paraId="52F52D11" w14:textId="77777777" w:rsidR="0045314B"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Ability to identify issues, analyze and participate in the resolution of issues/problems. </w:t>
      </w:r>
    </w:p>
    <w:p w14:paraId="22CEC83C" w14:textId="77777777" w:rsidR="0045314B"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Ability to apply judgment in the context of assignments given, plan own work and manage conflicting priorities. Shows pride in work and in achievements;</w:t>
      </w:r>
    </w:p>
    <w:p w14:paraId="05C8EB7F" w14:textId="77777777" w:rsidR="00624008"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Demonstrates professional competence and mastery of subject matter; Is conscientious and efficient in meeting commitments, observing deadlines and achieving results; Is motivated by professional rather than personal concerns; </w:t>
      </w:r>
    </w:p>
    <w:p w14:paraId="71E45E37" w14:textId="07FF0975" w:rsidR="0045314B"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Shows persistence when faced with difficult problems or challenges; Remains calm in stressful situations; Shows leadership capacities;</w:t>
      </w:r>
    </w:p>
    <w:p w14:paraId="60FF5B90" w14:textId="53CF64C1" w:rsidR="0045314B"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Knowledge of IT to</w:t>
      </w:r>
      <w:r w:rsidR="00624008" w:rsidRPr="00925B91">
        <w:rPr>
          <w:rFonts w:asciiTheme="minorHAnsi" w:eastAsia="Calibri" w:hAnsiTheme="minorHAnsi" w:cstheme="minorHAnsi"/>
          <w:sz w:val="22"/>
          <w:szCs w:val="22"/>
          <w:lang w:val="en-US"/>
        </w:rPr>
        <w:t>ols such as Microsoft Office</w:t>
      </w:r>
      <w:r w:rsidRPr="00925B91">
        <w:rPr>
          <w:rFonts w:asciiTheme="minorHAnsi" w:eastAsia="Calibri" w:hAnsiTheme="minorHAnsi" w:cstheme="minorHAnsi"/>
          <w:sz w:val="22"/>
          <w:szCs w:val="22"/>
          <w:lang w:val="en-US"/>
        </w:rPr>
        <w:t>.</w:t>
      </w:r>
    </w:p>
    <w:p w14:paraId="3F689F9E" w14:textId="77777777" w:rsidR="0045314B" w:rsidRPr="00925B91" w:rsidRDefault="0045314B" w:rsidP="00A85C56">
      <w:pPr>
        <w:spacing w:before="120" w:after="120"/>
        <w:ind w:left="360"/>
        <w:jc w:val="both"/>
        <w:rPr>
          <w:rFonts w:asciiTheme="minorHAnsi" w:eastAsia="Calibri" w:hAnsiTheme="minorHAnsi" w:cstheme="minorHAnsi"/>
          <w:b/>
          <w:bCs/>
          <w:sz w:val="22"/>
          <w:szCs w:val="22"/>
          <w:lang w:val="en-US"/>
        </w:rPr>
      </w:pPr>
      <w:r w:rsidRPr="00925B91">
        <w:rPr>
          <w:rFonts w:asciiTheme="minorHAnsi" w:eastAsia="Calibri" w:hAnsiTheme="minorHAnsi" w:cstheme="minorHAnsi"/>
          <w:b/>
          <w:bCs/>
          <w:sz w:val="22"/>
          <w:szCs w:val="22"/>
          <w:lang w:val="en-US"/>
        </w:rPr>
        <w:t xml:space="preserve">TEAMWORK: </w:t>
      </w:r>
    </w:p>
    <w:p w14:paraId="2BC0575A" w14:textId="77777777" w:rsidR="0045314B"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Experience in teamwork, with recognition in the field of their specialty to cooperate with consultants of other specialties;</w:t>
      </w:r>
    </w:p>
    <w:p w14:paraId="0CE3E134" w14:textId="329BDEF2" w:rsidR="0045314B" w:rsidRPr="00925B91" w:rsidRDefault="0045314B" w:rsidP="00A85C56">
      <w:pPr>
        <w:pStyle w:val="ListParagraph"/>
        <w:numPr>
          <w:ilvl w:val="0"/>
          <w:numId w:val="13"/>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Works collaboratively with colleagues to achieve organizational goals; solicits input by genuinely valuing others' ideas and expertise; is willing to learn from others; supports and acts in accordance with final group decision, even when such decisions may not entirely reflect own position; shares credit for team accomplishments and accepts joint responsibility for team shortcomings.</w:t>
      </w:r>
    </w:p>
    <w:p w14:paraId="1D4342A3" w14:textId="77777777" w:rsidR="0045314B" w:rsidRPr="00925B91" w:rsidRDefault="0045314B" w:rsidP="00A85C56">
      <w:pPr>
        <w:spacing w:before="120" w:after="120"/>
        <w:ind w:left="360"/>
        <w:jc w:val="both"/>
        <w:rPr>
          <w:rFonts w:asciiTheme="minorHAnsi" w:eastAsia="Calibri" w:hAnsiTheme="minorHAnsi" w:cstheme="minorHAnsi"/>
          <w:b/>
          <w:bCs/>
          <w:sz w:val="22"/>
          <w:szCs w:val="22"/>
          <w:lang w:val="en-US"/>
        </w:rPr>
      </w:pPr>
      <w:r w:rsidRPr="00925B91">
        <w:rPr>
          <w:rFonts w:asciiTheme="minorHAnsi" w:eastAsia="Calibri" w:hAnsiTheme="minorHAnsi" w:cstheme="minorHAnsi"/>
          <w:b/>
          <w:bCs/>
          <w:sz w:val="22"/>
          <w:szCs w:val="22"/>
          <w:lang w:val="en-US"/>
        </w:rPr>
        <w:t>PLANNING AND ORGANIZING:</w:t>
      </w:r>
    </w:p>
    <w:p w14:paraId="38602A47" w14:textId="77777777" w:rsidR="0045314B" w:rsidRPr="00925B91" w:rsidRDefault="0045314B" w:rsidP="00A85C56">
      <w:pPr>
        <w:pStyle w:val="ListParagraph"/>
        <w:numPr>
          <w:ilvl w:val="0"/>
          <w:numId w:val="16"/>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14:paraId="252EC06B" w14:textId="7F808902" w:rsidR="00AC3722" w:rsidRPr="00925B91" w:rsidRDefault="00AC3722" w:rsidP="00A85C56">
      <w:pPr>
        <w:spacing w:before="120" w:after="120"/>
        <w:ind w:left="360"/>
        <w:jc w:val="both"/>
        <w:rPr>
          <w:rFonts w:asciiTheme="minorHAnsi" w:eastAsia="Calibri" w:hAnsiTheme="minorHAnsi" w:cstheme="minorHAnsi"/>
          <w:sz w:val="22"/>
          <w:szCs w:val="22"/>
          <w:lang w:val="en-US"/>
        </w:rPr>
      </w:pPr>
    </w:p>
    <w:p w14:paraId="5C42AF12" w14:textId="09F20822" w:rsidR="0045314B" w:rsidRPr="00925B91" w:rsidRDefault="0045314B" w:rsidP="00A85C56">
      <w:pPr>
        <w:spacing w:before="120" w:after="120"/>
        <w:ind w:left="360"/>
        <w:jc w:val="both"/>
        <w:rPr>
          <w:rFonts w:asciiTheme="minorHAnsi" w:eastAsia="Calibri" w:hAnsiTheme="minorHAnsi" w:cstheme="minorHAnsi"/>
          <w:b/>
          <w:bCs/>
          <w:sz w:val="22"/>
          <w:szCs w:val="22"/>
          <w:lang w:val="en-US"/>
        </w:rPr>
      </w:pPr>
      <w:r w:rsidRPr="00925B91">
        <w:rPr>
          <w:rFonts w:asciiTheme="minorHAnsi" w:eastAsia="Calibri" w:hAnsiTheme="minorHAnsi" w:cstheme="minorHAnsi"/>
          <w:b/>
          <w:bCs/>
          <w:sz w:val="22"/>
          <w:szCs w:val="22"/>
          <w:lang w:val="en-US"/>
        </w:rPr>
        <w:t>OTHERS:</w:t>
      </w:r>
    </w:p>
    <w:p w14:paraId="0543381C" w14:textId="376941F0" w:rsidR="0045314B" w:rsidRDefault="0045314B" w:rsidP="00A85C56">
      <w:pPr>
        <w:pStyle w:val="ListParagraph"/>
        <w:numPr>
          <w:ilvl w:val="0"/>
          <w:numId w:val="16"/>
        </w:num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xml:space="preserve">Experts must be based </w:t>
      </w:r>
      <w:r w:rsidR="005A1D52" w:rsidRPr="00925B91">
        <w:rPr>
          <w:rFonts w:asciiTheme="minorHAnsi" w:eastAsia="Calibri" w:hAnsiTheme="minorHAnsi" w:cstheme="minorHAnsi"/>
          <w:sz w:val="22"/>
          <w:szCs w:val="22"/>
          <w:lang w:val="en-US"/>
        </w:rPr>
        <w:t xml:space="preserve">preferably </w:t>
      </w:r>
      <w:r w:rsidRPr="00925B91">
        <w:rPr>
          <w:rFonts w:asciiTheme="minorHAnsi" w:eastAsia="Calibri" w:hAnsiTheme="minorHAnsi" w:cstheme="minorHAnsi"/>
          <w:sz w:val="22"/>
          <w:szCs w:val="22"/>
          <w:lang w:val="en-US"/>
        </w:rPr>
        <w:t xml:space="preserve">in </w:t>
      </w:r>
      <w:r w:rsidR="005A1D52" w:rsidRPr="00925B91">
        <w:rPr>
          <w:rFonts w:asciiTheme="minorHAnsi" w:eastAsia="Calibri" w:hAnsiTheme="minorHAnsi" w:cstheme="minorHAnsi"/>
          <w:sz w:val="22"/>
          <w:szCs w:val="22"/>
          <w:lang w:val="en-US"/>
        </w:rPr>
        <w:t>Mexico City</w:t>
      </w:r>
      <w:r w:rsidRPr="00925B91">
        <w:rPr>
          <w:rFonts w:asciiTheme="minorHAnsi" w:eastAsia="Calibri" w:hAnsiTheme="minorHAnsi" w:cstheme="minorHAnsi"/>
          <w:sz w:val="22"/>
          <w:szCs w:val="22"/>
          <w:lang w:val="en-US"/>
        </w:rPr>
        <w:t xml:space="preserve"> and have fu</w:t>
      </w:r>
      <w:r w:rsidR="00ED6976">
        <w:rPr>
          <w:rFonts w:asciiTheme="minorHAnsi" w:eastAsia="Calibri" w:hAnsiTheme="minorHAnsi" w:cstheme="minorHAnsi"/>
          <w:sz w:val="22"/>
          <w:szCs w:val="22"/>
          <w:lang w:val="en-US"/>
        </w:rPr>
        <w:t>ll time availability (required).</w:t>
      </w:r>
    </w:p>
    <w:p w14:paraId="71B5B110" w14:textId="77777777" w:rsidR="00817045" w:rsidRPr="00031B95" w:rsidRDefault="00817045" w:rsidP="00817045">
      <w:pPr>
        <w:pStyle w:val="ListParagraph"/>
        <w:numPr>
          <w:ilvl w:val="0"/>
          <w:numId w:val="16"/>
        </w:numPr>
        <w:spacing w:before="120" w:after="120"/>
        <w:jc w:val="both"/>
        <w:rPr>
          <w:rFonts w:asciiTheme="minorHAnsi" w:eastAsia="Calibri" w:hAnsiTheme="minorHAnsi" w:cstheme="minorHAnsi"/>
          <w:sz w:val="22"/>
          <w:szCs w:val="22"/>
          <w:lang w:val="en-US"/>
        </w:rPr>
      </w:pPr>
      <w:r w:rsidRPr="00CA13A6">
        <w:rPr>
          <w:rFonts w:asciiTheme="minorHAnsi" w:eastAsia="Calibri" w:hAnsiTheme="minorHAnsi" w:cstheme="minorHAnsi"/>
          <w:sz w:val="22"/>
          <w:szCs w:val="22"/>
          <w:lang w:val="en-US"/>
        </w:rPr>
        <w:t>Experts with Mexican nationality will have priority - parity of experience and knowledge</w:t>
      </w:r>
    </w:p>
    <w:p w14:paraId="5C13767E" w14:textId="77777777" w:rsidR="00817045" w:rsidRDefault="00817045" w:rsidP="001F1398">
      <w:pPr>
        <w:pStyle w:val="ListParagraph"/>
        <w:spacing w:before="120" w:after="120"/>
        <w:jc w:val="both"/>
        <w:rPr>
          <w:rFonts w:asciiTheme="minorHAnsi" w:eastAsia="Calibri" w:hAnsiTheme="minorHAnsi" w:cstheme="minorHAnsi"/>
          <w:sz w:val="22"/>
          <w:szCs w:val="22"/>
          <w:lang w:val="en-US"/>
        </w:rPr>
      </w:pPr>
    </w:p>
    <w:p w14:paraId="2F075C71" w14:textId="77777777" w:rsidR="00ED6976" w:rsidRPr="00925B91" w:rsidRDefault="00ED6976" w:rsidP="00ED6976">
      <w:pPr>
        <w:pStyle w:val="ListParagraph"/>
        <w:spacing w:before="120" w:after="120"/>
        <w:jc w:val="both"/>
        <w:rPr>
          <w:rFonts w:asciiTheme="minorHAnsi" w:eastAsia="Calibri" w:hAnsiTheme="minorHAnsi" w:cstheme="minorHAnsi"/>
          <w:sz w:val="22"/>
          <w:szCs w:val="22"/>
          <w:lang w:val="en-US"/>
        </w:rPr>
      </w:pPr>
    </w:p>
    <w:p w14:paraId="4FFAA9C8" w14:textId="15EB88FE" w:rsidR="003E6952" w:rsidRPr="00925B91" w:rsidRDefault="000164C0" w:rsidP="00A85C56">
      <w:pPr>
        <w:pStyle w:val="ListParagraph"/>
        <w:numPr>
          <w:ilvl w:val="0"/>
          <w:numId w:val="1"/>
        </w:numPr>
        <w:spacing w:before="120" w:after="120"/>
        <w:ind w:left="284"/>
        <w:jc w:val="both"/>
        <w:rPr>
          <w:rFonts w:asciiTheme="minorHAnsi" w:eastAsia="Calibri" w:hAnsiTheme="minorHAnsi" w:cstheme="minorHAnsi"/>
          <w:b/>
          <w:sz w:val="22"/>
          <w:szCs w:val="22"/>
          <w:lang w:val="en-US"/>
        </w:rPr>
      </w:pPr>
      <w:r w:rsidRPr="00925B91">
        <w:rPr>
          <w:rFonts w:asciiTheme="minorHAnsi" w:eastAsia="Calibri" w:hAnsiTheme="minorHAnsi" w:cstheme="minorHAnsi"/>
          <w:b/>
          <w:sz w:val="22"/>
          <w:szCs w:val="22"/>
          <w:lang w:val="en-US"/>
        </w:rPr>
        <w:t>Requirements</w:t>
      </w:r>
    </w:p>
    <w:p w14:paraId="1D2E020E" w14:textId="77777777" w:rsidR="003E6952" w:rsidRPr="00925B91" w:rsidRDefault="003E6952" w:rsidP="00A85C56">
      <w:p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CV</w:t>
      </w:r>
    </w:p>
    <w:p w14:paraId="0E80AD53" w14:textId="381F1C0B" w:rsidR="009A394A" w:rsidRPr="00925B91" w:rsidRDefault="009A394A" w:rsidP="00A85C56">
      <w:pPr>
        <w:spacing w:before="120" w:after="120"/>
        <w:jc w:val="both"/>
        <w:rPr>
          <w:rFonts w:asciiTheme="minorHAnsi" w:eastAsia="Calibri" w:hAnsiTheme="minorHAnsi" w:cstheme="minorHAnsi"/>
          <w:sz w:val="22"/>
          <w:szCs w:val="22"/>
          <w:lang w:val="en-US"/>
        </w:rPr>
      </w:pPr>
      <w:r w:rsidRPr="00925B91">
        <w:rPr>
          <w:rFonts w:asciiTheme="minorHAnsi" w:eastAsia="Calibri" w:hAnsiTheme="minorHAnsi" w:cstheme="minorHAnsi"/>
          <w:sz w:val="22"/>
          <w:szCs w:val="22"/>
          <w:lang w:val="en-US"/>
        </w:rPr>
        <w:t>- A description (1 to 2 pages) of how the consultant experience and skills will help with the assigned tasks mentioned above.</w:t>
      </w:r>
      <w:r w:rsidR="00041974" w:rsidRPr="00925B91">
        <w:rPr>
          <w:rFonts w:asciiTheme="minorHAnsi" w:eastAsia="Calibri" w:hAnsiTheme="minorHAnsi" w:cstheme="minorHAnsi"/>
          <w:sz w:val="22"/>
          <w:szCs w:val="22"/>
          <w:lang w:val="en-US"/>
        </w:rPr>
        <w:t xml:space="preserve"> This letter might be in Spanish. </w:t>
      </w:r>
    </w:p>
    <w:p w14:paraId="39807D7D" w14:textId="283EF37A" w:rsidR="000164C0" w:rsidRPr="00A85C56" w:rsidRDefault="00C77225" w:rsidP="00A85C56">
      <w:pPr>
        <w:spacing w:before="120" w:after="120"/>
        <w:jc w:val="both"/>
        <w:outlineLvl w:val="0"/>
        <w:rPr>
          <w:rFonts w:asciiTheme="majorHAnsi" w:eastAsia="Calibri" w:hAnsiTheme="majorHAnsi" w:cstheme="majorHAnsi"/>
          <w:sz w:val="22"/>
          <w:szCs w:val="22"/>
          <w:lang w:val="en-US"/>
        </w:rPr>
      </w:pPr>
      <w:r w:rsidRPr="00925B91">
        <w:rPr>
          <w:rFonts w:asciiTheme="minorHAnsi" w:eastAsia="Calibri" w:hAnsiTheme="minorHAnsi" w:cstheme="minorHAnsi"/>
          <w:sz w:val="22"/>
          <w:szCs w:val="22"/>
          <w:lang w:val="en-US"/>
        </w:rPr>
        <w:t xml:space="preserve">- </w:t>
      </w:r>
      <w:r w:rsidR="003E6952" w:rsidRPr="00925B91">
        <w:rPr>
          <w:rFonts w:asciiTheme="minorHAnsi" w:eastAsia="Calibri" w:hAnsiTheme="minorHAnsi" w:cstheme="minorHAnsi"/>
          <w:sz w:val="22"/>
          <w:szCs w:val="22"/>
          <w:lang w:val="en-US"/>
        </w:rPr>
        <w:t xml:space="preserve">To apply for this position, please email </w:t>
      </w:r>
      <w:r w:rsidRPr="00925B91">
        <w:rPr>
          <w:rFonts w:asciiTheme="minorHAnsi" w:eastAsia="Calibri" w:hAnsiTheme="minorHAnsi" w:cstheme="minorHAnsi"/>
          <w:sz w:val="22"/>
          <w:szCs w:val="22"/>
          <w:lang w:val="en-US"/>
        </w:rPr>
        <w:t xml:space="preserve">Fernando Farias </w:t>
      </w:r>
      <w:r w:rsidRPr="00743A6B">
        <w:rPr>
          <w:rFonts w:asciiTheme="minorHAnsi" w:eastAsia="Calibri" w:hAnsiTheme="minorHAnsi" w:cstheme="minorHAnsi"/>
          <w:sz w:val="22"/>
          <w:szCs w:val="22"/>
          <w:lang w:val="en-US"/>
        </w:rPr>
        <w:t>ffar@dtu.dk</w:t>
      </w:r>
      <w:r w:rsidR="00192A5C" w:rsidRPr="00925B91">
        <w:rPr>
          <w:rFonts w:asciiTheme="minorHAnsi" w:eastAsia="Calibri" w:hAnsiTheme="minorHAnsi" w:cstheme="minorHAnsi"/>
          <w:sz w:val="22"/>
          <w:szCs w:val="22"/>
          <w:lang w:val="en-US"/>
        </w:rPr>
        <w:t xml:space="preserve">, </w:t>
      </w:r>
      <w:r w:rsidR="00196F4B" w:rsidRPr="00925B91">
        <w:rPr>
          <w:rFonts w:asciiTheme="minorHAnsi" w:eastAsia="Calibri" w:hAnsiTheme="minorHAnsi" w:cstheme="minorHAnsi"/>
          <w:sz w:val="22"/>
          <w:szCs w:val="22"/>
          <w:lang w:val="en-US"/>
        </w:rPr>
        <w:t xml:space="preserve">Ana Salas </w:t>
      </w:r>
      <w:proofErr w:type="gramStart"/>
      <w:r w:rsidR="00196F4B" w:rsidRPr="00743A6B">
        <w:rPr>
          <w:rFonts w:asciiTheme="minorHAnsi" w:eastAsia="Calibri" w:hAnsiTheme="minorHAnsi" w:cstheme="minorHAnsi"/>
          <w:sz w:val="22"/>
          <w:szCs w:val="22"/>
          <w:lang w:val="en-US"/>
        </w:rPr>
        <w:t>consuelo.salas@semarnat.gob.mx</w:t>
      </w:r>
      <w:r w:rsidR="00196F4B">
        <w:rPr>
          <w:rFonts w:asciiTheme="majorHAnsi" w:eastAsia="Calibri" w:hAnsiTheme="majorHAnsi" w:cstheme="majorHAnsi"/>
          <w:sz w:val="22"/>
          <w:szCs w:val="22"/>
          <w:lang w:val="en-US"/>
        </w:rPr>
        <w:t xml:space="preserve"> </w:t>
      </w:r>
      <w:r w:rsidR="00DF0343">
        <w:rPr>
          <w:rFonts w:asciiTheme="majorHAnsi" w:eastAsia="Calibri" w:hAnsiTheme="majorHAnsi" w:cstheme="majorHAnsi"/>
          <w:sz w:val="22"/>
          <w:szCs w:val="22"/>
          <w:lang w:val="en-US"/>
        </w:rPr>
        <w:t>,</w:t>
      </w:r>
      <w:proofErr w:type="gramEnd"/>
      <w:r w:rsidR="00DF0343">
        <w:rPr>
          <w:rFonts w:asciiTheme="majorHAnsi" w:eastAsia="Calibri" w:hAnsiTheme="majorHAnsi" w:cstheme="majorHAnsi"/>
          <w:sz w:val="22"/>
          <w:szCs w:val="22"/>
          <w:lang w:val="en-US"/>
        </w:rPr>
        <w:t xml:space="preserve"> Eduardo García eduardo.garciad@semarnat.gob.mx</w:t>
      </w:r>
      <w:r w:rsidR="00BC1A85">
        <w:rPr>
          <w:rFonts w:asciiTheme="majorHAnsi" w:eastAsia="Calibri" w:hAnsiTheme="majorHAnsi" w:cstheme="majorHAnsi"/>
          <w:sz w:val="22"/>
          <w:szCs w:val="22"/>
          <w:lang w:val="en-US"/>
        </w:rPr>
        <w:t xml:space="preserve">; </w:t>
      </w:r>
      <w:r w:rsidR="00743A6B">
        <w:rPr>
          <w:rFonts w:asciiTheme="majorHAnsi" w:eastAsia="Calibri" w:hAnsiTheme="majorHAnsi" w:cstheme="majorHAnsi"/>
          <w:sz w:val="22"/>
          <w:szCs w:val="22"/>
          <w:lang w:val="en-US"/>
        </w:rPr>
        <w:t xml:space="preserve">and </w:t>
      </w:r>
      <w:r w:rsidR="006744D3">
        <w:rPr>
          <w:rFonts w:asciiTheme="majorHAnsi" w:eastAsia="Calibri" w:hAnsiTheme="majorHAnsi" w:cstheme="majorHAnsi"/>
          <w:sz w:val="22"/>
          <w:szCs w:val="22"/>
          <w:lang w:val="en-US"/>
        </w:rPr>
        <w:t xml:space="preserve">Diana </w:t>
      </w:r>
      <w:proofErr w:type="spellStart"/>
      <w:r w:rsidR="006744D3">
        <w:rPr>
          <w:rFonts w:asciiTheme="majorHAnsi" w:eastAsia="Calibri" w:hAnsiTheme="majorHAnsi" w:cstheme="majorHAnsi"/>
          <w:sz w:val="22"/>
          <w:szCs w:val="22"/>
          <w:lang w:val="en-US"/>
        </w:rPr>
        <w:t>Guzmán</w:t>
      </w:r>
      <w:proofErr w:type="spellEnd"/>
      <w:r w:rsidR="006744D3">
        <w:rPr>
          <w:rFonts w:asciiTheme="majorHAnsi" w:eastAsia="Calibri" w:hAnsiTheme="majorHAnsi" w:cstheme="majorHAnsi"/>
          <w:sz w:val="22"/>
          <w:szCs w:val="22"/>
          <w:lang w:val="en-US"/>
        </w:rPr>
        <w:t xml:space="preserve"> diana.guzman@semarnat.gob.mx.</w:t>
      </w:r>
    </w:p>
    <w:sectPr w:rsidR="000164C0" w:rsidRPr="00A85C56" w:rsidSect="000F7702">
      <w:headerReference w:type="default" r:id="rId8"/>
      <w:pgSz w:w="11900" w:h="16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B5BE" w14:textId="77777777" w:rsidR="00D27254" w:rsidRDefault="00D27254" w:rsidP="00D81504">
      <w:r>
        <w:separator/>
      </w:r>
    </w:p>
  </w:endnote>
  <w:endnote w:type="continuationSeparator" w:id="0">
    <w:p w14:paraId="744C8819" w14:textId="77777777" w:rsidR="00D27254" w:rsidRDefault="00D27254" w:rsidP="00D8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70AE" w14:textId="77777777" w:rsidR="00D27254" w:rsidRDefault="00D27254" w:rsidP="00D81504">
      <w:r>
        <w:separator/>
      </w:r>
    </w:p>
  </w:footnote>
  <w:footnote w:type="continuationSeparator" w:id="0">
    <w:p w14:paraId="0F8DA403" w14:textId="77777777" w:rsidR="00D27254" w:rsidRDefault="00D27254" w:rsidP="00D81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8C87" w14:textId="051AD63F" w:rsidR="00D81504" w:rsidRPr="00D81504" w:rsidRDefault="00D81504" w:rsidP="00D81504">
    <w:pPr>
      <w:pStyle w:val="Header"/>
    </w:pPr>
    <w:r>
      <w:rPr>
        <w:rFonts w:asciiTheme="minorHAnsi" w:hAnsiTheme="minorHAnsi" w:cstheme="minorHAnsi"/>
        <w:b/>
        <w:noProof/>
      </w:rPr>
      <w:t xml:space="preserve">  </w:t>
    </w:r>
    <w:r>
      <w:rPr>
        <w:rFonts w:asciiTheme="minorHAnsi" w:hAnsiTheme="minorHAnsi" w:cstheme="minorHAnsi"/>
        <w:b/>
        <w:noProof/>
      </w:rPr>
      <w:tab/>
    </w:r>
    <w:r w:rsidRPr="00D81504">
      <w:rPr>
        <w:rFonts w:asciiTheme="minorHAnsi" w:hAnsiTheme="minorHAnsi" w:cstheme="minorHAnsi"/>
        <w:noProof/>
      </w:rPr>
      <w:tab/>
    </w:r>
    <w:r w:rsidRPr="00D81504">
      <w:rPr>
        <w:rFonts w:asciiTheme="minorHAnsi" w:hAnsiTheme="minorHAnsi" w:cstheme="minorHAnsi"/>
        <w:noProof/>
        <w:lang w:val="en-GB" w:eastAsia="en-GB"/>
      </w:rPr>
      <w:drawing>
        <wp:inline distT="0" distB="0" distL="0" distR="0" wp14:anchorId="1C11E5E7" wp14:editId="3754FAF5">
          <wp:extent cx="1314450" cy="51501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 DTU logo.jpg"/>
                  <pic:cNvPicPr/>
                </pic:nvPicPr>
                <pic:blipFill>
                  <a:blip r:embed="rId1">
                    <a:extLst>
                      <a:ext uri="{28A0092B-C50C-407E-A947-70E740481C1C}">
                        <a14:useLocalDpi xmlns:a14="http://schemas.microsoft.com/office/drawing/2010/main" val="0"/>
                      </a:ext>
                    </a:extLst>
                  </a:blip>
                  <a:stretch>
                    <a:fillRect/>
                  </a:stretch>
                </pic:blipFill>
                <pic:spPr>
                  <a:xfrm>
                    <a:off x="0" y="0"/>
                    <a:ext cx="1314450" cy="515018"/>
                  </a:xfrm>
                  <a:prstGeom prst="rect">
                    <a:avLst/>
                  </a:prstGeom>
                  <a:ln>
                    <a:noFill/>
                  </a:ln>
                </pic:spPr>
              </pic:pic>
            </a:graphicData>
          </a:graphic>
        </wp:inline>
      </w:drawing>
    </w:r>
    <w:r w:rsidRPr="00D81504">
      <w:rPr>
        <w:rFonts w:asciiTheme="minorHAnsi" w:hAnsiTheme="minorHAnsi" w:cstheme="minorHAns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AE2"/>
    <w:multiLevelType w:val="multilevel"/>
    <w:tmpl w:val="0407001F"/>
    <w:lvl w:ilvl="0">
      <w:start w:val="1"/>
      <w:numFmt w:val="decimal"/>
      <w:lvlText w:val="%1."/>
      <w:lvlJc w:val="left"/>
      <w:pPr>
        <w:ind w:left="360" w:hanging="360"/>
      </w:pPr>
      <w:rPr>
        <w:rFonts w:cs="Times New Roman" w:hint="default"/>
      </w:rPr>
    </w:lvl>
    <w:lvl w:ilvl="1">
      <w:start w:val="1"/>
      <w:numFmt w:val="decimal"/>
      <w:lvlText w:val="%1.%2."/>
      <w:lvlJc w:val="left"/>
      <w:pPr>
        <w:ind w:left="5110" w:hanging="432"/>
      </w:pPr>
      <w:rPr>
        <w:rFonts w:cs="Times New Roman" w:hint="default"/>
      </w:rPr>
    </w:lvl>
    <w:lvl w:ilvl="2">
      <w:start w:val="1"/>
      <w:numFmt w:val="decimal"/>
      <w:lvlText w:val="%1.%2.%3."/>
      <w:lvlJc w:val="left"/>
      <w:pPr>
        <w:ind w:left="1224"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210BB4"/>
    <w:multiLevelType w:val="multilevel"/>
    <w:tmpl w:val="DA3EF5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9665B3"/>
    <w:multiLevelType w:val="hybridMultilevel"/>
    <w:tmpl w:val="3928FE74"/>
    <w:lvl w:ilvl="0" w:tplc="E4E2578E">
      <w:start w:val="5"/>
      <w:numFmt w:val="bullet"/>
      <w:lvlText w:val="-"/>
      <w:lvlJc w:val="left"/>
      <w:pPr>
        <w:ind w:left="720" w:hanging="360"/>
      </w:pPr>
      <w:rPr>
        <w:rFonts w:ascii="Calibri Light" w:eastAsia="Calibri" w:hAnsi="Calibri Light" w:cstheme="maj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2900F2"/>
    <w:multiLevelType w:val="multilevel"/>
    <w:tmpl w:val="C448A076"/>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7866ECB"/>
    <w:multiLevelType w:val="multilevel"/>
    <w:tmpl w:val="77D82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75526"/>
    <w:multiLevelType w:val="multilevel"/>
    <w:tmpl w:val="A40494D4"/>
    <w:lvl w:ilvl="0">
      <w:start w:val="1"/>
      <w:numFmt w:val="decimal"/>
      <w:lvlText w:val="%1"/>
      <w:lvlJc w:val="left"/>
      <w:pPr>
        <w:ind w:left="435" w:hanging="435"/>
      </w:pPr>
    </w:lvl>
    <w:lvl w:ilvl="1">
      <w:start w:val="2"/>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6" w15:restartNumberingAfterBreak="0">
    <w:nsid w:val="2CDA5E78"/>
    <w:multiLevelType w:val="multilevel"/>
    <w:tmpl w:val="C3C60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D95734D"/>
    <w:multiLevelType w:val="multilevel"/>
    <w:tmpl w:val="C3C60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86F28BA"/>
    <w:multiLevelType w:val="hybridMultilevel"/>
    <w:tmpl w:val="B32C452A"/>
    <w:lvl w:ilvl="0" w:tplc="08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F2E0C94"/>
    <w:multiLevelType w:val="hybridMultilevel"/>
    <w:tmpl w:val="61E272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B30456"/>
    <w:multiLevelType w:val="hybridMultilevel"/>
    <w:tmpl w:val="F97489B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F55BB4"/>
    <w:multiLevelType w:val="multilevel"/>
    <w:tmpl w:val="3A7AD2F4"/>
    <w:lvl w:ilvl="0">
      <w:start w:val="1"/>
      <w:numFmt w:val="decimal"/>
      <w:lvlText w:val="%1."/>
      <w:lvlJc w:val="left"/>
      <w:pPr>
        <w:ind w:left="360" w:hanging="360"/>
      </w:pPr>
      <w:rPr>
        <w:rFonts w:hint="default"/>
      </w:rPr>
    </w:lvl>
    <w:lvl w:ilvl="1">
      <w:start w:val="10"/>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1A4662"/>
    <w:multiLevelType w:val="hybridMultilevel"/>
    <w:tmpl w:val="F97489B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8415A5"/>
    <w:multiLevelType w:val="multilevel"/>
    <w:tmpl w:val="095C64F4"/>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4" w15:restartNumberingAfterBreak="0">
    <w:nsid w:val="4BF237A9"/>
    <w:multiLevelType w:val="multilevel"/>
    <w:tmpl w:val="359E6B0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F2620BF"/>
    <w:multiLevelType w:val="hybridMultilevel"/>
    <w:tmpl w:val="E9805A08"/>
    <w:lvl w:ilvl="0" w:tplc="2C0A000F">
      <w:start w:val="1"/>
      <w:numFmt w:val="decimal"/>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6" w15:restartNumberingAfterBreak="0">
    <w:nsid w:val="560C5D6B"/>
    <w:multiLevelType w:val="multilevel"/>
    <w:tmpl w:val="D834C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87F49CA"/>
    <w:multiLevelType w:val="hybridMultilevel"/>
    <w:tmpl w:val="F97489B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A62FCD"/>
    <w:multiLevelType w:val="multilevel"/>
    <w:tmpl w:val="02CEE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204D22"/>
    <w:multiLevelType w:val="multilevel"/>
    <w:tmpl w:val="B3622FDE"/>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5FE0D68"/>
    <w:multiLevelType w:val="hybridMultilevel"/>
    <w:tmpl w:val="BFD0155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D13423F"/>
    <w:multiLevelType w:val="hybridMultilevel"/>
    <w:tmpl w:val="D2548BCA"/>
    <w:lvl w:ilvl="0" w:tplc="624A245A">
      <w:start w:val="1"/>
      <w:numFmt w:val="decimal"/>
      <w:lvlText w:val="%1."/>
      <w:lvlJc w:val="left"/>
      <w:pPr>
        <w:ind w:left="720" w:hanging="360"/>
      </w:pPr>
      <w:rPr>
        <w:rFonts w:hint="default"/>
        <w:lang w:val="en-U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DA057CE"/>
    <w:multiLevelType w:val="multilevel"/>
    <w:tmpl w:val="C3C60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E1413A1"/>
    <w:multiLevelType w:val="multilevel"/>
    <w:tmpl w:val="C3C60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1"/>
  </w:num>
  <w:num w:numId="2">
    <w:abstractNumId w:val="0"/>
  </w:num>
  <w:num w:numId="3">
    <w:abstractNumId w:val="20"/>
  </w:num>
  <w:num w:numId="4">
    <w:abstractNumId w:val="9"/>
  </w:num>
  <w:num w:numId="5">
    <w:abstractNumId w:val="9"/>
  </w:num>
  <w:num w:numId="6">
    <w:abstractNumId w:val="19"/>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8"/>
  </w:num>
  <w:num w:numId="12">
    <w:abstractNumId w:val="23"/>
  </w:num>
  <w:num w:numId="13">
    <w:abstractNumId w:val="7"/>
  </w:num>
  <w:num w:numId="14">
    <w:abstractNumId w:val="15"/>
  </w:num>
  <w:num w:numId="15">
    <w:abstractNumId w:val="2"/>
  </w:num>
  <w:num w:numId="16">
    <w:abstractNumId w:val="22"/>
  </w:num>
  <w:num w:numId="17">
    <w:abstractNumId w:val="16"/>
  </w:num>
  <w:num w:numId="18">
    <w:abstractNumId w:val="14"/>
  </w:num>
  <w:num w:numId="19">
    <w:abstractNumId w:val="10"/>
  </w:num>
  <w:num w:numId="20">
    <w:abstractNumId w:val="12"/>
  </w:num>
  <w:num w:numId="21">
    <w:abstractNumId w:val="17"/>
  </w:num>
  <w:num w:numId="22">
    <w:abstractNumId w:val="13"/>
  </w:num>
  <w:num w:numId="23">
    <w:abstractNumId w:val="3"/>
  </w:num>
  <w:num w:numId="24">
    <w:abstractNumId w:val="1"/>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73"/>
    <w:rsid w:val="00006755"/>
    <w:rsid w:val="00013621"/>
    <w:rsid w:val="0001475F"/>
    <w:rsid w:val="000164C0"/>
    <w:rsid w:val="00017893"/>
    <w:rsid w:val="00020185"/>
    <w:rsid w:val="00032EAA"/>
    <w:rsid w:val="00034D6E"/>
    <w:rsid w:val="00041974"/>
    <w:rsid w:val="00046A55"/>
    <w:rsid w:val="0005571C"/>
    <w:rsid w:val="000651C7"/>
    <w:rsid w:val="00067BC6"/>
    <w:rsid w:val="000731D8"/>
    <w:rsid w:val="000732EA"/>
    <w:rsid w:val="0007459A"/>
    <w:rsid w:val="0008444D"/>
    <w:rsid w:val="000A3C6A"/>
    <w:rsid w:val="000B1B7D"/>
    <w:rsid w:val="000B5073"/>
    <w:rsid w:val="000B68DE"/>
    <w:rsid w:val="000C355D"/>
    <w:rsid w:val="000C7506"/>
    <w:rsid w:val="000D4A96"/>
    <w:rsid w:val="000E5945"/>
    <w:rsid w:val="000F7702"/>
    <w:rsid w:val="00104DF2"/>
    <w:rsid w:val="00105F9F"/>
    <w:rsid w:val="001168B7"/>
    <w:rsid w:val="001461BF"/>
    <w:rsid w:val="0015257D"/>
    <w:rsid w:val="00152E0D"/>
    <w:rsid w:val="0016227E"/>
    <w:rsid w:val="00164C62"/>
    <w:rsid w:val="00166AC0"/>
    <w:rsid w:val="001777A8"/>
    <w:rsid w:val="0018155C"/>
    <w:rsid w:val="00192A5C"/>
    <w:rsid w:val="00196F4B"/>
    <w:rsid w:val="001A1B19"/>
    <w:rsid w:val="001B12A3"/>
    <w:rsid w:val="001C237A"/>
    <w:rsid w:val="001C2530"/>
    <w:rsid w:val="001C7AEE"/>
    <w:rsid w:val="001E3DB8"/>
    <w:rsid w:val="001E6011"/>
    <w:rsid w:val="001F1398"/>
    <w:rsid w:val="001F6409"/>
    <w:rsid w:val="00207631"/>
    <w:rsid w:val="00223754"/>
    <w:rsid w:val="00245777"/>
    <w:rsid w:val="002529B4"/>
    <w:rsid w:val="0025702C"/>
    <w:rsid w:val="00261618"/>
    <w:rsid w:val="002620BC"/>
    <w:rsid w:val="00267120"/>
    <w:rsid w:val="0027458C"/>
    <w:rsid w:val="00291B73"/>
    <w:rsid w:val="00291C25"/>
    <w:rsid w:val="00295BA0"/>
    <w:rsid w:val="00295F01"/>
    <w:rsid w:val="002A353D"/>
    <w:rsid w:val="002E0BDD"/>
    <w:rsid w:val="002F202F"/>
    <w:rsid w:val="002F39BD"/>
    <w:rsid w:val="003325F7"/>
    <w:rsid w:val="00347231"/>
    <w:rsid w:val="0035160B"/>
    <w:rsid w:val="003625BF"/>
    <w:rsid w:val="00362FF6"/>
    <w:rsid w:val="00374963"/>
    <w:rsid w:val="003827AE"/>
    <w:rsid w:val="003A3BD8"/>
    <w:rsid w:val="003C03C4"/>
    <w:rsid w:val="003D30A2"/>
    <w:rsid w:val="003D71A8"/>
    <w:rsid w:val="003E3F43"/>
    <w:rsid w:val="003E5CEC"/>
    <w:rsid w:val="003E6952"/>
    <w:rsid w:val="003F3073"/>
    <w:rsid w:val="003F75CC"/>
    <w:rsid w:val="00404931"/>
    <w:rsid w:val="00406540"/>
    <w:rsid w:val="00410C22"/>
    <w:rsid w:val="00410DE5"/>
    <w:rsid w:val="00422C3B"/>
    <w:rsid w:val="0042666E"/>
    <w:rsid w:val="00435CDA"/>
    <w:rsid w:val="0045314B"/>
    <w:rsid w:val="004574CE"/>
    <w:rsid w:val="00471D04"/>
    <w:rsid w:val="004812EF"/>
    <w:rsid w:val="004876E3"/>
    <w:rsid w:val="00494E6D"/>
    <w:rsid w:val="004C0835"/>
    <w:rsid w:val="004F37FE"/>
    <w:rsid w:val="004F63ED"/>
    <w:rsid w:val="00501FD4"/>
    <w:rsid w:val="005120EC"/>
    <w:rsid w:val="00547CD9"/>
    <w:rsid w:val="0056018F"/>
    <w:rsid w:val="005643FD"/>
    <w:rsid w:val="005676AA"/>
    <w:rsid w:val="005A1D52"/>
    <w:rsid w:val="005C3212"/>
    <w:rsid w:val="005C5CFF"/>
    <w:rsid w:val="005C77FF"/>
    <w:rsid w:val="005E0C57"/>
    <w:rsid w:val="005F28A3"/>
    <w:rsid w:val="005F35CC"/>
    <w:rsid w:val="005F3B4B"/>
    <w:rsid w:val="00605B45"/>
    <w:rsid w:val="00617862"/>
    <w:rsid w:val="00624008"/>
    <w:rsid w:val="00664E47"/>
    <w:rsid w:val="006744D3"/>
    <w:rsid w:val="006818EA"/>
    <w:rsid w:val="00681AD0"/>
    <w:rsid w:val="006A02CA"/>
    <w:rsid w:val="006B1F62"/>
    <w:rsid w:val="006C1173"/>
    <w:rsid w:val="006E3E7A"/>
    <w:rsid w:val="006F6B55"/>
    <w:rsid w:val="007012A3"/>
    <w:rsid w:val="0070753D"/>
    <w:rsid w:val="007125FA"/>
    <w:rsid w:val="00724AB1"/>
    <w:rsid w:val="0074362D"/>
    <w:rsid w:val="00743A6B"/>
    <w:rsid w:val="00743C4F"/>
    <w:rsid w:val="00754B59"/>
    <w:rsid w:val="007713B7"/>
    <w:rsid w:val="00780383"/>
    <w:rsid w:val="00784ABC"/>
    <w:rsid w:val="007A5ABD"/>
    <w:rsid w:val="007B225A"/>
    <w:rsid w:val="007B2968"/>
    <w:rsid w:val="007C0817"/>
    <w:rsid w:val="007E7E06"/>
    <w:rsid w:val="0081036B"/>
    <w:rsid w:val="00817045"/>
    <w:rsid w:val="00823318"/>
    <w:rsid w:val="00825A4A"/>
    <w:rsid w:val="00832D7F"/>
    <w:rsid w:val="00845051"/>
    <w:rsid w:val="00857C2E"/>
    <w:rsid w:val="008605C4"/>
    <w:rsid w:val="00872F4D"/>
    <w:rsid w:val="008807F7"/>
    <w:rsid w:val="00880919"/>
    <w:rsid w:val="008918E7"/>
    <w:rsid w:val="008A0141"/>
    <w:rsid w:val="008B2422"/>
    <w:rsid w:val="008B2A0E"/>
    <w:rsid w:val="008B3762"/>
    <w:rsid w:val="008C3D82"/>
    <w:rsid w:val="008F3006"/>
    <w:rsid w:val="009069AD"/>
    <w:rsid w:val="00925B91"/>
    <w:rsid w:val="009460DD"/>
    <w:rsid w:val="00947759"/>
    <w:rsid w:val="009511FA"/>
    <w:rsid w:val="00953E17"/>
    <w:rsid w:val="00966C8E"/>
    <w:rsid w:val="00970023"/>
    <w:rsid w:val="00973880"/>
    <w:rsid w:val="00974524"/>
    <w:rsid w:val="0097722E"/>
    <w:rsid w:val="009964D7"/>
    <w:rsid w:val="009A084E"/>
    <w:rsid w:val="009A0E41"/>
    <w:rsid w:val="009A394A"/>
    <w:rsid w:val="009B50D0"/>
    <w:rsid w:val="009C130E"/>
    <w:rsid w:val="009E3F37"/>
    <w:rsid w:val="009E6BAA"/>
    <w:rsid w:val="00A065CF"/>
    <w:rsid w:val="00A1268C"/>
    <w:rsid w:val="00A21AD1"/>
    <w:rsid w:val="00A23BA6"/>
    <w:rsid w:val="00A46836"/>
    <w:rsid w:val="00A470C3"/>
    <w:rsid w:val="00A71F07"/>
    <w:rsid w:val="00A77F85"/>
    <w:rsid w:val="00A803AA"/>
    <w:rsid w:val="00A830CA"/>
    <w:rsid w:val="00A85C56"/>
    <w:rsid w:val="00A90D77"/>
    <w:rsid w:val="00A96829"/>
    <w:rsid w:val="00AA2AB4"/>
    <w:rsid w:val="00AB4EE6"/>
    <w:rsid w:val="00AC3722"/>
    <w:rsid w:val="00AD1682"/>
    <w:rsid w:val="00AD5E49"/>
    <w:rsid w:val="00AE0B04"/>
    <w:rsid w:val="00B02153"/>
    <w:rsid w:val="00B1153B"/>
    <w:rsid w:val="00B235A5"/>
    <w:rsid w:val="00B23BBE"/>
    <w:rsid w:val="00B3341B"/>
    <w:rsid w:val="00B40ECF"/>
    <w:rsid w:val="00B50F08"/>
    <w:rsid w:val="00B516DB"/>
    <w:rsid w:val="00B5777E"/>
    <w:rsid w:val="00B65C53"/>
    <w:rsid w:val="00B73271"/>
    <w:rsid w:val="00B810F7"/>
    <w:rsid w:val="00B93016"/>
    <w:rsid w:val="00BA6187"/>
    <w:rsid w:val="00BA675A"/>
    <w:rsid w:val="00BC1A85"/>
    <w:rsid w:val="00BE4B02"/>
    <w:rsid w:val="00BE6C9E"/>
    <w:rsid w:val="00BF40A3"/>
    <w:rsid w:val="00BF6774"/>
    <w:rsid w:val="00C013EB"/>
    <w:rsid w:val="00C119CC"/>
    <w:rsid w:val="00C162FF"/>
    <w:rsid w:val="00C2772B"/>
    <w:rsid w:val="00C66D5C"/>
    <w:rsid w:val="00C77225"/>
    <w:rsid w:val="00C81C82"/>
    <w:rsid w:val="00C90C73"/>
    <w:rsid w:val="00CA6D05"/>
    <w:rsid w:val="00CB3E15"/>
    <w:rsid w:val="00CC47B6"/>
    <w:rsid w:val="00CC700E"/>
    <w:rsid w:val="00CD0B0E"/>
    <w:rsid w:val="00CD3B3D"/>
    <w:rsid w:val="00CD6C6C"/>
    <w:rsid w:val="00CF7161"/>
    <w:rsid w:val="00D1208A"/>
    <w:rsid w:val="00D13972"/>
    <w:rsid w:val="00D23A69"/>
    <w:rsid w:val="00D27254"/>
    <w:rsid w:val="00D57F7A"/>
    <w:rsid w:val="00D60AEB"/>
    <w:rsid w:val="00D64AB5"/>
    <w:rsid w:val="00D70ACC"/>
    <w:rsid w:val="00D71FC9"/>
    <w:rsid w:val="00D748A4"/>
    <w:rsid w:val="00D81504"/>
    <w:rsid w:val="00D9603A"/>
    <w:rsid w:val="00DE0E74"/>
    <w:rsid w:val="00DE5AA8"/>
    <w:rsid w:val="00DE5FDD"/>
    <w:rsid w:val="00DF0343"/>
    <w:rsid w:val="00E24585"/>
    <w:rsid w:val="00E344C6"/>
    <w:rsid w:val="00E37FF9"/>
    <w:rsid w:val="00E4122B"/>
    <w:rsid w:val="00E42788"/>
    <w:rsid w:val="00E470E3"/>
    <w:rsid w:val="00E625A9"/>
    <w:rsid w:val="00E732DE"/>
    <w:rsid w:val="00E73691"/>
    <w:rsid w:val="00E736EA"/>
    <w:rsid w:val="00EB28A9"/>
    <w:rsid w:val="00EC2A76"/>
    <w:rsid w:val="00ED6976"/>
    <w:rsid w:val="00ED7138"/>
    <w:rsid w:val="00EE0970"/>
    <w:rsid w:val="00EE156A"/>
    <w:rsid w:val="00EF0BED"/>
    <w:rsid w:val="00EF2FCA"/>
    <w:rsid w:val="00F00BB6"/>
    <w:rsid w:val="00F02D18"/>
    <w:rsid w:val="00F04D84"/>
    <w:rsid w:val="00F06CCA"/>
    <w:rsid w:val="00F1598F"/>
    <w:rsid w:val="00F279D3"/>
    <w:rsid w:val="00F41A21"/>
    <w:rsid w:val="00F52714"/>
    <w:rsid w:val="00F531DF"/>
    <w:rsid w:val="00F57B65"/>
    <w:rsid w:val="00F73C76"/>
    <w:rsid w:val="00F86797"/>
    <w:rsid w:val="00FA3A4C"/>
    <w:rsid w:val="00FB1510"/>
    <w:rsid w:val="00FB4643"/>
    <w:rsid w:val="00FD038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3EB1"/>
  <w15:docId w15:val="{8AB94993-0D26-4816-AD89-466082E1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4B"/>
    <w:rPr>
      <w:rFonts w:ascii="Times New Roman" w:eastAsia="Times New Roman" w:hAnsi="Times New Roman" w:cs="Times New Roman"/>
      <w:lang w:val="es-AR" w:eastAsia="es-AR"/>
    </w:rPr>
  </w:style>
  <w:style w:type="paragraph" w:styleId="Heading1">
    <w:name w:val="heading 1"/>
    <w:basedOn w:val="Normal"/>
    <w:next w:val="Normal"/>
    <w:link w:val="Heading1Char"/>
    <w:uiPriority w:val="9"/>
    <w:qFormat/>
    <w:rsid w:val="00D81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5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1F6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0C73"/>
    <w:pPr>
      <w:ind w:left="720"/>
      <w:contextualSpacing/>
    </w:pPr>
  </w:style>
  <w:style w:type="character" w:customStyle="1" w:styleId="ListParagraphChar">
    <w:name w:val="List Paragraph Char"/>
    <w:link w:val="ListParagraph"/>
    <w:uiPriority w:val="34"/>
    <w:qFormat/>
    <w:locked/>
    <w:rsid w:val="006818EA"/>
  </w:style>
  <w:style w:type="character" w:styleId="CommentReference">
    <w:name w:val="annotation reference"/>
    <w:basedOn w:val="DefaultParagraphFont"/>
    <w:uiPriority w:val="99"/>
    <w:semiHidden/>
    <w:unhideWhenUsed/>
    <w:rsid w:val="000164C0"/>
    <w:rPr>
      <w:sz w:val="16"/>
      <w:szCs w:val="16"/>
    </w:rPr>
  </w:style>
  <w:style w:type="paragraph" w:styleId="CommentText">
    <w:name w:val="annotation text"/>
    <w:basedOn w:val="Normal"/>
    <w:link w:val="CommentTextChar"/>
    <w:uiPriority w:val="99"/>
    <w:semiHidden/>
    <w:unhideWhenUsed/>
    <w:rsid w:val="000164C0"/>
    <w:rPr>
      <w:sz w:val="20"/>
      <w:szCs w:val="20"/>
    </w:rPr>
  </w:style>
  <w:style w:type="character" w:customStyle="1" w:styleId="CommentTextChar">
    <w:name w:val="Comment Text Char"/>
    <w:basedOn w:val="DefaultParagraphFont"/>
    <w:link w:val="CommentText"/>
    <w:uiPriority w:val="99"/>
    <w:semiHidden/>
    <w:rsid w:val="000164C0"/>
    <w:rPr>
      <w:rFonts w:ascii="Times New Roman" w:eastAsia="Times New Roman" w:hAnsi="Times New Roman" w:cs="Times New Roman"/>
      <w:sz w:val="20"/>
      <w:szCs w:val="20"/>
      <w:lang w:val="es-AR" w:eastAsia="es-AR"/>
    </w:rPr>
  </w:style>
  <w:style w:type="paragraph" w:styleId="CommentSubject">
    <w:name w:val="annotation subject"/>
    <w:basedOn w:val="CommentText"/>
    <w:next w:val="CommentText"/>
    <w:link w:val="CommentSubjectChar"/>
    <w:uiPriority w:val="99"/>
    <w:semiHidden/>
    <w:unhideWhenUsed/>
    <w:rsid w:val="000164C0"/>
    <w:rPr>
      <w:b/>
      <w:bCs/>
    </w:rPr>
  </w:style>
  <w:style w:type="character" w:customStyle="1" w:styleId="CommentSubjectChar">
    <w:name w:val="Comment Subject Char"/>
    <w:basedOn w:val="CommentTextChar"/>
    <w:link w:val="CommentSubject"/>
    <w:uiPriority w:val="99"/>
    <w:semiHidden/>
    <w:rsid w:val="000164C0"/>
    <w:rPr>
      <w:rFonts w:ascii="Times New Roman" w:eastAsia="Times New Roman" w:hAnsi="Times New Roman" w:cs="Times New Roman"/>
      <w:b/>
      <w:bCs/>
      <w:sz w:val="20"/>
      <w:szCs w:val="20"/>
      <w:lang w:val="es-AR" w:eastAsia="es-AR"/>
    </w:rPr>
  </w:style>
  <w:style w:type="paragraph" w:styleId="BalloonText">
    <w:name w:val="Balloon Text"/>
    <w:basedOn w:val="Normal"/>
    <w:link w:val="BalloonTextChar"/>
    <w:unhideWhenUsed/>
    <w:rsid w:val="0001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4C0"/>
    <w:rPr>
      <w:rFonts w:ascii="Segoe UI" w:eastAsia="Times New Roman" w:hAnsi="Segoe UI" w:cs="Segoe UI"/>
      <w:sz w:val="18"/>
      <w:szCs w:val="18"/>
      <w:lang w:val="es-AR" w:eastAsia="es-AR"/>
    </w:rPr>
  </w:style>
  <w:style w:type="paragraph" w:styleId="Revision">
    <w:name w:val="Revision"/>
    <w:hidden/>
    <w:uiPriority w:val="99"/>
    <w:semiHidden/>
    <w:rsid w:val="001C237A"/>
    <w:rPr>
      <w:rFonts w:ascii="Times New Roman" w:eastAsia="Times New Roman" w:hAnsi="Times New Roman" w:cs="Times New Roman"/>
      <w:lang w:val="es-AR" w:eastAsia="es-AR"/>
    </w:rPr>
  </w:style>
  <w:style w:type="paragraph" w:styleId="Header">
    <w:name w:val="header"/>
    <w:basedOn w:val="Normal"/>
    <w:link w:val="HeaderChar"/>
    <w:uiPriority w:val="99"/>
    <w:unhideWhenUsed/>
    <w:rsid w:val="00D81504"/>
    <w:pPr>
      <w:tabs>
        <w:tab w:val="center" w:pos="4252"/>
        <w:tab w:val="right" w:pos="8504"/>
      </w:tabs>
    </w:pPr>
  </w:style>
  <w:style w:type="character" w:customStyle="1" w:styleId="HeaderChar">
    <w:name w:val="Header Char"/>
    <w:basedOn w:val="DefaultParagraphFont"/>
    <w:link w:val="Header"/>
    <w:uiPriority w:val="99"/>
    <w:rsid w:val="00D81504"/>
    <w:rPr>
      <w:rFonts w:ascii="Times New Roman" w:eastAsia="Times New Roman" w:hAnsi="Times New Roman" w:cs="Times New Roman"/>
      <w:lang w:val="es-AR" w:eastAsia="es-AR"/>
    </w:rPr>
  </w:style>
  <w:style w:type="paragraph" w:styleId="Footer">
    <w:name w:val="footer"/>
    <w:basedOn w:val="Normal"/>
    <w:link w:val="FooterChar"/>
    <w:uiPriority w:val="99"/>
    <w:unhideWhenUsed/>
    <w:rsid w:val="00D81504"/>
    <w:pPr>
      <w:tabs>
        <w:tab w:val="center" w:pos="4252"/>
        <w:tab w:val="right" w:pos="8504"/>
      </w:tabs>
    </w:pPr>
  </w:style>
  <w:style w:type="character" w:customStyle="1" w:styleId="FooterChar">
    <w:name w:val="Footer Char"/>
    <w:basedOn w:val="DefaultParagraphFont"/>
    <w:link w:val="Footer"/>
    <w:uiPriority w:val="99"/>
    <w:rsid w:val="00D81504"/>
    <w:rPr>
      <w:rFonts w:ascii="Times New Roman" w:eastAsia="Times New Roman" w:hAnsi="Times New Roman" w:cs="Times New Roman"/>
      <w:lang w:val="es-AR" w:eastAsia="es-AR"/>
    </w:rPr>
  </w:style>
  <w:style w:type="character" w:customStyle="1" w:styleId="Heading1Char">
    <w:name w:val="Heading 1 Char"/>
    <w:basedOn w:val="DefaultParagraphFont"/>
    <w:link w:val="Heading1"/>
    <w:uiPriority w:val="9"/>
    <w:rsid w:val="00D81504"/>
    <w:rPr>
      <w:rFonts w:asciiTheme="majorHAnsi" w:eastAsiaTheme="majorEastAsia" w:hAnsiTheme="majorHAnsi" w:cstheme="majorBidi"/>
      <w:color w:val="2F5496" w:themeColor="accent1" w:themeShade="BF"/>
      <w:sz w:val="32"/>
      <w:szCs w:val="32"/>
      <w:lang w:val="es-AR" w:eastAsia="es-AR"/>
    </w:rPr>
  </w:style>
  <w:style w:type="character" w:customStyle="1" w:styleId="Heading2Char">
    <w:name w:val="Heading 2 Char"/>
    <w:basedOn w:val="DefaultParagraphFont"/>
    <w:link w:val="Heading2"/>
    <w:uiPriority w:val="9"/>
    <w:rsid w:val="00D81504"/>
    <w:rPr>
      <w:rFonts w:asciiTheme="majorHAnsi" w:eastAsiaTheme="majorEastAsia" w:hAnsiTheme="majorHAnsi" w:cstheme="majorBidi"/>
      <w:color w:val="2F5496" w:themeColor="accent1" w:themeShade="BF"/>
      <w:sz w:val="26"/>
      <w:szCs w:val="26"/>
      <w:lang w:val="es-AR" w:eastAsia="es-AR"/>
    </w:rPr>
  </w:style>
  <w:style w:type="character" w:customStyle="1" w:styleId="Heading3Char">
    <w:name w:val="Heading 3 Char"/>
    <w:basedOn w:val="DefaultParagraphFont"/>
    <w:link w:val="Heading3"/>
    <w:uiPriority w:val="9"/>
    <w:rsid w:val="006B1F62"/>
    <w:rPr>
      <w:rFonts w:asciiTheme="majorHAnsi" w:eastAsiaTheme="majorEastAsia" w:hAnsiTheme="majorHAnsi" w:cstheme="majorBidi"/>
      <w:color w:val="1F3763" w:themeColor="accent1" w:themeShade="7F"/>
      <w:lang w:val="es-AR" w:eastAsia="es-AR"/>
    </w:rPr>
  </w:style>
  <w:style w:type="table" w:customStyle="1" w:styleId="TableGrid1">
    <w:name w:val="Table Grid1"/>
    <w:basedOn w:val="TableNormal"/>
    <w:uiPriority w:val="39"/>
    <w:rsid w:val="00A4683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6836"/>
    <w:rPr>
      <w:sz w:val="20"/>
      <w:szCs w:val="20"/>
    </w:rPr>
  </w:style>
  <w:style w:type="character" w:customStyle="1" w:styleId="FootnoteTextChar">
    <w:name w:val="Footnote Text Char"/>
    <w:basedOn w:val="DefaultParagraphFont"/>
    <w:link w:val="FootnoteText"/>
    <w:uiPriority w:val="99"/>
    <w:semiHidden/>
    <w:rsid w:val="00A46836"/>
    <w:rPr>
      <w:rFonts w:ascii="Times New Roman" w:eastAsia="Times New Roman" w:hAnsi="Times New Roman" w:cs="Times New Roman"/>
      <w:sz w:val="20"/>
      <w:szCs w:val="20"/>
      <w:lang w:val="es-AR" w:eastAsia="es-AR"/>
    </w:rPr>
  </w:style>
  <w:style w:type="character" w:styleId="FootnoteReference">
    <w:name w:val="footnote reference"/>
    <w:basedOn w:val="DefaultParagraphFont"/>
    <w:uiPriority w:val="99"/>
    <w:semiHidden/>
    <w:unhideWhenUsed/>
    <w:rsid w:val="00A46836"/>
    <w:rPr>
      <w:vertAlign w:val="superscript"/>
    </w:rPr>
  </w:style>
  <w:style w:type="paragraph" w:customStyle="1" w:styleId="TableParagraph">
    <w:name w:val="Table Paragraph"/>
    <w:basedOn w:val="Normal"/>
    <w:uiPriority w:val="1"/>
    <w:qFormat/>
    <w:rsid w:val="00046A55"/>
    <w:pPr>
      <w:widowControl w:val="0"/>
      <w:autoSpaceDE w:val="0"/>
      <w:autoSpaceDN w:val="0"/>
      <w:ind w:left="816"/>
    </w:pPr>
    <w:rPr>
      <w:rFonts w:ascii="Century Gothic" w:eastAsia="Century Gothic" w:hAnsi="Century Gothic" w:cs="Century Gothic"/>
      <w:sz w:val="22"/>
      <w:szCs w:val="22"/>
      <w:lang w:val="en-US" w:eastAsia="en-US" w:bidi="en-US"/>
    </w:rPr>
  </w:style>
  <w:style w:type="paragraph" w:customStyle="1" w:styleId="c8">
    <w:name w:val="c8"/>
    <w:basedOn w:val="Normal"/>
    <w:rsid w:val="008A0141"/>
    <w:pPr>
      <w:widowControl w:val="0"/>
      <w:autoSpaceDE w:val="0"/>
      <w:autoSpaceDN w:val="0"/>
      <w:adjustRightInd w:val="0"/>
      <w:jc w:val="center"/>
    </w:pPr>
    <w:rPr>
      <w:lang w:val="en-US" w:eastAsia="en-US"/>
    </w:rPr>
  </w:style>
  <w:style w:type="character" w:styleId="Hyperlink">
    <w:name w:val="Hyperlink"/>
    <w:basedOn w:val="DefaultParagraphFont"/>
    <w:uiPriority w:val="99"/>
    <w:unhideWhenUsed/>
    <w:rsid w:val="00C77225"/>
    <w:rPr>
      <w:color w:val="0563C1" w:themeColor="hyperlink"/>
      <w:u w:val="single"/>
    </w:rPr>
  </w:style>
  <w:style w:type="character" w:customStyle="1" w:styleId="Mencinsinresolver1">
    <w:name w:val="Mención sin resolver1"/>
    <w:basedOn w:val="DefaultParagraphFont"/>
    <w:uiPriority w:val="99"/>
    <w:semiHidden/>
    <w:unhideWhenUsed/>
    <w:rsid w:val="00196F4B"/>
    <w:rPr>
      <w:color w:val="605E5C"/>
      <w:shd w:val="clear" w:color="auto" w:fill="E1DFDD"/>
    </w:rPr>
  </w:style>
  <w:style w:type="paragraph" w:styleId="HTMLPreformatted">
    <w:name w:val="HTML Preformatted"/>
    <w:basedOn w:val="Normal"/>
    <w:link w:val="HTMLPreformattedChar"/>
    <w:uiPriority w:val="99"/>
    <w:unhideWhenUsed/>
    <w:rsid w:val="00DF0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DF0343"/>
    <w:rPr>
      <w:rFonts w:ascii="Courier New" w:eastAsia="Times New Roman" w:hAnsi="Courier New" w:cs="Courier New"/>
      <w:sz w:val="20"/>
      <w:szCs w:val="20"/>
      <w:lang w:val="es-ES" w:eastAsia="es-ES"/>
    </w:rPr>
  </w:style>
  <w:style w:type="character" w:customStyle="1" w:styleId="y2iqfc">
    <w:name w:val="y2iqfc"/>
    <w:basedOn w:val="DefaultParagraphFont"/>
    <w:rsid w:val="00DF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2674">
      <w:bodyDiv w:val="1"/>
      <w:marLeft w:val="0"/>
      <w:marRight w:val="0"/>
      <w:marTop w:val="0"/>
      <w:marBottom w:val="0"/>
      <w:divBdr>
        <w:top w:val="none" w:sz="0" w:space="0" w:color="auto"/>
        <w:left w:val="none" w:sz="0" w:space="0" w:color="auto"/>
        <w:bottom w:val="none" w:sz="0" w:space="0" w:color="auto"/>
        <w:right w:val="none" w:sz="0" w:space="0" w:color="auto"/>
      </w:divBdr>
    </w:div>
    <w:div w:id="126238220">
      <w:bodyDiv w:val="1"/>
      <w:marLeft w:val="0"/>
      <w:marRight w:val="0"/>
      <w:marTop w:val="0"/>
      <w:marBottom w:val="0"/>
      <w:divBdr>
        <w:top w:val="none" w:sz="0" w:space="0" w:color="auto"/>
        <w:left w:val="none" w:sz="0" w:space="0" w:color="auto"/>
        <w:bottom w:val="none" w:sz="0" w:space="0" w:color="auto"/>
        <w:right w:val="none" w:sz="0" w:space="0" w:color="auto"/>
      </w:divBdr>
    </w:div>
    <w:div w:id="306250466">
      <w:bodyDiv w:val="1"/>
      <w:marLeft w:val="0"/>
      <w:marRight w:val="0"/>
      <w:marTop w:val="0"/>
      <w:marBottom w:val="0"/>
      <w:divBdr>
        <w:top w:val="none" w:sz="0" w:space="0" w:color="auto"/>
        <w:left w:val="none" w:sz="0" w:space="0" w:color="auto"/>
        <w:bottom w:val="none" w:sz="0" w:space="0" w:color="auto"/>
        <w:right w:val="none" w:sz="0" w:space="0" w:color="auto"/>
      </w:divBdr>
    </w:div>
    <w:div w:id="399793643">
      <w:bodyDiv w:val="1"/>
      <w:marLeft w:val="0"/>
      <w:marRight w:val="0"/>
      <w:marTop w:val="0"/>
      <w:marBottom w:val="0"/>
      <w:divBdr>
        <w:top w:val="none" w:sz="0" w:space="0" w:color="auto"/>
        <w:left w:val="none" w:sz="0" w:space="0" w:color="auto"/>
        <w:bottom w:val="none" w:sz="0" w:space="0" w:color="auto"/>
        <w:right w:val="none" w:sz="0" w:space="0" w:color="auto"/>
      </w:divBdr>
    </w:div>
    <w:div w:id="453715444">
      <w:bodyDiv w:val="1"/>
      <w:marLeft w:val="0"/>
      <w:marRight w:val="0"/>
      <w:marTop w:val="0"/>
      <w:marBottom w:val="0"/>
      <w:divBdr>
        <w:top w:val="none" w:sz="0" w:space="0" w:color="auto"/>
        <w:left w:val="none" w:sz="0" w:space="0" w:color="auto"/>
        <w:bottom w:val="none" w:sz="0" w:space="0" w:color="auto"/>
        <w:right w:val="none" w:sz="0" w:space="0" w:color="auto"/>
      </w:divBdr>
    </w:div>
    <w:div w:id="518394767">
      <w:bodyDiv w:val="1"/>
      <w:marLeft w:val="0"/>
      <w:marRight w:val="0"/>
      <w:marTop w:val="0"/>
      <w:marBottom w:val="0"/>
      <w:divBdr>
        <w:top w:val="none" w:sz="0" w:space="0" w:color="auto"/>
        <w:left w:val="none" w:sz="0" w:space="0" w:color="auto"/>
        <w:bottom w:val="none" w:sz="0" w:space="0" w:color="auto"/>
        <w:right w:val="none" w:sz="0" w:space="0" w:color="auto"/>
      </w:divBdr>
    </w:div>
    <w:div w:id="645017076">
      <w:bodyDiv w:val="1"/>
      <w:marLeft w:val="0"/>
      <w:marRight w:val="0"/>
      <w:marTop w:val="0"/>
      <w:marBottom w:val="0"/>
      <w:divBdr>
        <w:top w:val="none" w:sz="0" w:space="0" w:color="auto"/>
        <w:left w:val="none" w:sz="0" w:space="0" w:color="auto"/>
        <w:bottom w:val="none" w:sz="0" w:space="0" w:color="auto"/>
        <w:right w:val="none" w:sz="0" w:space="0" w:color="auto"/>
      </w:divBdr>
    </w:div>
    <w:div w:id="834303983">
      <w:bodyDiv w:val="1"/>
      <w:marLeft w:val="0"/>
      <w:marRight w:val="0"/>
      <w:marTop w:val="0"/>
      <w:marBottom w:val="0"/>
      <w:divBdr>
        <w:top w:val="none" w:sz="0" w:space="0" w:color="auto"/>
        <w:left w:val="none" w:sz="0" w:space="0" w:color="auto"/>
        <w:bottom w:val="none" w:sz="0" w:space="0" w:color="auto"/>
        <w:right w:val="none" w:sz="0" w:space="0" w:color="auto"/>
      </w:divBdr>
    </w:div>
    <w:div w:id="921987658">
      <w:bodyDiv w:val="1"/>
      <w:marLeft w:val="0"/>
      <w:marRight w:val="0"/>
      <w:marTop w:val="0"/>
      <w:marBottom w:val="0"/>
      <w:divBdr>
        <w:top w:val="none" w:sz="0" w:space="0" w:color="auto"/>
        <w:left w:val="none" w:sz="0" w:space="0" w:color="auto"/>
        <w:bottom w:val="none" w:sz="0" w:space="0" w:color="auto"/>
        <w:right w:val="none" w:sz="0" w:space="0" w:color="auto"/>
      </w:divBdr>
    </w:div>
    <w:div w:id="1235354349">
      <w:bodyDiv w:val="1"/>
      <w:marLeft w:val="0"/>
      <w:marRight w:val="0"/>
      <w:marTop w:val="0"/>
      <w:marBottom w:val="0"/>
      <w:divBdr>
        <w:top w:val="none" w:sz="0" w:space="0" w:color="auto"/>
        <w:left w:val="none" w:sz="0" w:space="0" w:color="auto"/>
        <w:bottom w:val="none" w:sz="0" w:space="0" w:color="auto"/>
        <w:right w:val="none" w:sz="0" w:space="0" w:color="auto"/>
      </w:divBdr>
    </w:div>
    <w:div w:id="1374576175">
      <w:bodyDiv w:val="1"/>
      <w:marLeft w:val="0"/>
      <w:marRight w:val="0"/>
      <w:marTop w:val="0"/>
      <w:marBottom w:val="0"/>
      <w:divBdr>
        <w:top w:val="none" w:sz="0" w:space="0" w:color="auto"/>
        <w:left w:val="none" w:sz="0" w:space="0" w:color="auto"/>
        <w:bottom w:val="none" w:sz="0" w:space="0" w:color="auto"/>
        <w:right w:val="none" w:sz="0" w:space="0" w:color="auto"/>
      </w:divBdr>
    </w:div>
    <w:div w:id="1564947577">
      <w:bodyDiv w:val="1"/>
      <w:marLeft w:val="0"/>
      <w:marRight w:val="0"/>
      <w:marTop w:val="0"/>
      <w:marBottom w:val="0"/>
      <w:divBdr>
        <w:top w:val="none" w:sz="0" w:space="0" w:color="auto"/>
        <w:left w:val="none" w:sz="0" w:space="0" w:color="auto"/>
        <w:bottom w:val="none" w:sz="0" w:space="0" w:color="auto"/>
        <w:right w:val="none" w:sz="0" w:space="0" w:color="auto"/>
      </w:divBdr>
    </w:div>
    <w:div w:id="1591936276">
      <w:bodyDiv w:val="1"/>
      <w:marLeft w:val="0"/>
      <w:marRight w:val="0"/>
      <w:marTop w:val="0"/>
      <w:marBottom w:val="0"/>
      <w:divBdr>
        <w:top w:val="none" w:sz="0" w:space="0" w:color="auto"/>
        <w:left w:val="none" w:sz="0" w:space="0" w:color="auto"/>
        <w:bottom w:val="none" w:sz="0" w:space="0" w:color="auto"/>
        <w:right w:val="none" w:sz="0" w:space="0" w:color="auto"/>
      </w:divBdr>
    </w:div>
    <w:div w:id="1751076028">
      <w:bodyDiv w:val="1"/>
      <w:marLeft w:val="0"/>
      <w:marRight w:val="0"/>
      <w:marTop w:val="0"/>
      <w:marBottom w:val="0"/>
      <w:divBdr>
        <w:top w:val="none" w:sz="0" w:space="0" w:color="auto"/>
        <w:left w:val="none" w:sz="0" w:space="0" w:color="auto"/>
        <w:bottom w:val="none" w:sz="0" w:space="0" w:color="auto"/>
        <w:right w:val="none" w:sz="0" w:space="0" w:color="auto"/>
      </w:divBdr>
    </w:div>
    <w:div w:id="1804078917">
      <w:bodyDiv w:val="1"/>
      <w:marLeft w:val="0"/>
      <w:marRight w:val="0"/>
      <w:marTop w:val="0"/>
      <w:marBottom w:val="0"/>
      <w:divBdr>
        <w:top w:val="none" w:sz="0" w:space="0" w:color="auto"/>
        <w:left w:val="none" w:sz="0" w:space="0" w:color="auto"/>
        <w:bottom w:val="none" w:sz="0" w:space="0" w:color="auto"/>
        <w:right w:val="none" w:sz="0" w:space="0" w:color="auto"/>
      </w:divBdr>
    </w:div>
    <w:div w:id="1822039380">
      <w:bodyDiv w:val="1"/>
      <w:marLeft w:val="0"/>
      <w:marRight w:val="0"/>
      <w:marTop w:val="0"/>
      <w:marBottom w:val="0"/>
      <w:divBdr>
        <w:top w:val="none" w:sz="0" w:space="0" w:color="auto"/>
        <w:left w:val="none" w:sz="0" w:space="0" w:color="auto"/>
        <w:bottom w:val="none" w:sz="0" w:space="0" w:color="auto"/>
        <w:right w:val="none" w:sz="0" w:space="0" w:color="auto"/>
      </w:divBdr>
    </w:div>
    <w:div w:id="1895695464">
      <w:bodyDiv w:val="1"/>
      <w:marLeft w:val="0"/>
      <w:marRight w:val="0"/>
      <w:marTop w:val="0"/>
      <w:marBottom w:val="0"/>
      <w:divBdr>
        <w:top w:val="none" w:sz="0" w:space="0" w:color="auto"/>
        <w:left w:val="none" w:sz="0" w:space="0" w:color="auto"/>
        <w:bottom w:val="none" w:sz="0" w:space="0" w:color="auto"/>
        <w:right w:val="none" w:sz="0" w:space="0" w:color="auto"/>
      </w:divBdr>
    </w:div>
    <w:div w:id="19942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45D3-6B67-499E-945E-3B906CAD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2676</Words>
  <Characters>15254</Characters>
  <Application>Microsoft Office Word</Application>
  <DocSecurity>0</DocSecurity>
  <Lines>127</Lines>
  <Paragraphs>35</Paragraphs>
  <ScaleCrop>false</ScaleCrop>
  <HeadingPairs>
    <vt:vector size="6" baseType="variant">
      <vt:variant>
        <vt:lpstr>Title</vt:lpstr>
      </vt:variant>
      <vt:variant>
        <vt:i4>1</vt:i4>
      </vt:variant>
      <vt:variant>
        <vt:lpstr>Headings</vt:lpstr>
      </vt:variant>
      <vt:variant>
        <vt:i4>4</vt:i4>
      </vt:variant>
      <vt:variant>
        <vt:lpstr>Título</vt:lpstr>
      </vt:variant>
      <vt:variant>
        <vt:i4>1</vt:i4>
      </vt:variant>
    </vt:vector>
  </HeadingPairs>
  <TitlesOfParts>
    <vt:vector size="6" baseType="lpstr">
      <vt:lpstr/>
      <vt:lpstr>Initiative for Climate Action Transparency Mexico</vt:lpstr>
      <vt:lpstr>    Terms of Reference for short-term consultancy. Analyst (junior expert): Local Co</vt:lpstr>
      <vt:lpstr>    UNEP DTU Partnership is seeking to hire a short-term national technical Consulta</vt:lpstr>
      <vt:lpstr>- To apply for this position, please email Fernando Farias ffar@dtu.dk, Ana Sala</vt: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Stefi D´Annibali</dc:creator>
  <cp:lastModifiedBy>Fernando Farias</cp:lastModifiedBy>
  <cp:revision>5</cp:revision>
  <cp:lastPrinted>2020-03-06T15:58:00Z</cp:lastPrinted>
  <dcterms:created xsi:type="dcterms:W3CDTF">2021-11-04T12:54:00Z</dcterms:created>
  <dcterms:modified xsi:type="dcterms:W3CDTF">2021-11-04T14:07:00Z</dcterms:modified>
</cp:coreProperties>
</file>