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FC10A" w14:textId="0B38F283" w:rsidR="001838B8" w:rsidRDefault="001838B8">
      <w:pPr>
        <w:jc w:val="center"/>
        <w:rPr>
          <w:rFonts w:ascii="Montserrat" w:eastAsia="Montserrat" w:hAnsi="Montserrat" w:cs="Montserrat"/>
          <w:b/>
          <w:color w:val="1F497D"/>
          <w:sz w:val="30"/>
          <w:szCs w:val="30"/>
        </w:rPr>
      </w:pPr>
    </w:p>
    <w:p w14:paraId="202FC10B" w14:textId="0A5EEB9D" w:rsidR="001838B8" w:rsidRDefault="001838B8">
      <w:pPr>
        <w:jc w:val="center"/>
        <w:rPr>
          <w:rFonts w:ascii="Montserrat" w:eastAsia="Montserrat" w:hAnsi="Montserrat" w:cs="Montserrat"/>
          <w:b/>
          <w:color w:val="1F497D"/>
          <w:sz w:val="28"/>
          <w:szCs w:val="28"/>
        </w:rPr>
      </w:pPr>
    </w:p>
    <w:p w14:paraId="202FC10C" w14:textId="77777777" w:rsidR="001838B8" w:rsidRDefault="001838B8">
      <w:pPr>
        <w:jc w:val="center"/>
        <w:rPr>
          <w:rFonts w:ascii="Montserrat" w:eastAsia="Montserrat" w:hAnsi="Montserrat" w:cs="Montserrat"/>
          <w:b/>
          <w:color w:val="1F497D"/>
          <w:sz w:val="28"/>
          <w:szCs w:val="28"/>
        </w:rPr>
      </w:pPr>
    </w:p>
    <w:p w14:paraId="202FC10D" w14:textId="3D8D8170" w:rsidR="001838B8" w:rsidRDefault="00AD725A">
      <w:pPr>
        <w:jc w:val="center"/>
        <w:rPr>
          <w:rFonts w:ascii="Montserrat" w:eastAsia="Montserrat" w:hAnsi="Montserrat" w:cs="Montserrat"/>
          <w:b/>
          <w:color w:val="1F497D"/>
          <w:sz w:val="28"/>
          <w:szCs w:val="28"/>
        </w:rPr>
      </w:pPr>
      <w:r>
        <w:rPr>
          <w:rFonts w:ascii="Montserrat" w:eastAsia="Montserrat" w:hAnsi="Montserrat" w:cs="Montserrat"/>
          <w:b/>
          <w:noProof/>
          <w:color w:val="1F497D"/>
          <w:sz w:val="30"/>
          <w:szCs w:val="30"/>
        </w:rPr>
        <w:drawing>
          <wp:inline distT="0" distB="0" distL="0" distR="0" wp14:anchorId="78AB79C1" wp14:editId="182A66AC">
            <wp:extent cx="5731510" cy="2101215"/>
            <wp:effectExtent l="0" t="0" r="2540" b="0"/>
            <wp:docPr id="872501618" name="Picture 1" descr="A person touching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01618" name="Picture 1" descr="A person touching a scree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101215"/>
                    </a:xfrm>
                    <a:prstGeom prst="rect">
                      <a:avLst/>
                    </a:prstGeom>
                  </pic:spPr>
                </pic:pic>
              </a:graphicData>
            </a:graphic>
          </wp:inline>
        </w:drawing>
      </w:r>
    </w:p>
    <w:p w14:paraId="202FC10E" w14:textId="77777777" w:rsidR="001838B8" w:rsidRDefault="001838B8">
      <w:pPr>
        <w:jc w:val="center"/>
        <w:rPr>
          <w:rFonts w:ascii="Montserrat" w:eastAsia="Montserrat" w:hAnsi="Montserrat" w:cs="Montserrat"/>
          <w:b/>
          <w:color w:val="1F497D"/>
          <w:sz w:val="28"/>
          <w:szCs w:val="28"/>
        </w:rPr>
      </w:pPr>
    </w:p>
    <w:p w14:paraId="202FC10F" w14:textId="77777777" w:rsidR="001838B8" w:rsidRDefault="001838B8">
      <w:pPr>
        <w:jc w:val="center"/>
        <w:rPr>
          <w:rFonts w:ascii="Montserrat" w:eastAsia="Montserrat" w:hAnsi="Montserrat" w:cs="Montserrat"/>
          <w:b/>
          <w:color w:val="1F497D"/>
          <w:sz w:val="28"/>
          <w:szCs w:val="28"/>
        </w:rPr>
      </w:pPr>
    </w:p>
    <w:p w14:paraId="202FC111" w14:textId="0FB455F4" w:rsidR="001838B8" w:rsidRPr="00AD725A" w:rsidRDefault="0093669C" w:rsidP="00AD725A">
      <w:pPr>
        <w:jc w:val="center"/>
        <w:rPr>
          <w:rFonts w:ascii="Montserrat" w:eastAsia="Montserrat" w:hAnsi="Montserrat" w:cs="Montserrat"/>
          <w:b/>
          <w:color w:val="1F497D"/>
          <w:sz w:val="24"/>
          <w:szCs w:val="24"/>
        </w:rPr>
      </w:pPr>
      <w:sdt>
        <w:sdtPr>
          <w:tag w:val="goog_rdk_0"/>
          <w:id w:val="854084961"/>
        </w:sdtPr>
        <w:sdtEndPr/>
        <w:sdtContent/>
      </w:sdt>
      <w:r w:rsidR="005E13CD" w:rsidRPr="00AD725A">
        <w:rPr>
          <w:b/>
          <w:color w:val="1F497D"/>
          <w:sz w:val="56"/>
          <w:szCs w:val="56"/>
        </w:rPr>
        <w:t>Gu</w:t>
      </w:r>
      <w:r w:rsidR="00420ADE" w:rsidRPr="00AD725A">
        <w:rPr>
          <w:b/>
          <w:color w:val="1F497D"/>
          <w:sz w:val="56"/>
          <w:szCs w:val="56"/>
        </w:rPr>
        <w:t>idance</w:t>
      </w:r>
      <w:r w:rsidR="00A731EB" w:rsidRPr="00AD725A">
        <w:rPr>
          <w:b/>
          <w:color w:val="1F497D"/>
          <w:sz w:val="56"/>
          <w:szCs w:val="56"/>
        </w:rPr>
        <w:t xml:space="preserve"> to the </w:t>
      </w:r>
      <w:r w:rsidR="00A731EB" w:rsidRPr="00AD725A">
        <w:rPr>
          <w:b/>
          <w:i/>
          <w:color w:val="1F497D"/>
          <w:sz w:val="56"/>
          <w:szCs w:val="56"/>
        </w:rPr>
        <w:t>Greenhouse Gas Abatement Cost Model</w:t>
      </w:r>
      <w:r w:rsidR="00A731EB" w:rsidRPr="00AD725A">
        <w:rPr>
          <w:b/>
          <w:color w:val="1F497D"/>
          <w:sz w:val="56"/>
          <w:szCs w:val="56"/>
        </w:rPr>
        <w:t xml:space="preserve"> (GACMO)</w:t>
      </w:r>
    </w:p>
    <w:p w14:paraId="202FC114" w14:textId="77777777" w:rsidR="001838B8" w:rsidRDefault="001838B8">
      <w:pPr>
        <w:rPr>
          <w:rFonts w:ascii="Montserrat" w:eastAsia="Montserrat" w:hAnsi="Montserrat" w:cs="Montserrat"/>
          <w:b/>
          <w:color w:val="1F497D"/>
          <w:sz w:val="28"/>
          <w:szCs w:val="28"/>
        </w:rPr>
      </w:pPr>
    </w:p>
    <w:p w14:paraId="66850554" w14:textId="77777777" w:rsidR="00AD725A" w:rsidRDefault="00AD725A">
      <w:pPr>
        <w:rPr>
          <w:rFonts w:ascii="Montserrat" w:eastAsia="Montserrat" w:hAnsi="Montserrat" w:cs="Montserrat"/>
          <w:b/>
          <w:color w:val="1F497D"/>
          <w:sz w:val="28"/>
          <w:szCs w:val="28"/>
        </w:rPr>
      </w:pPr>
    </w:p>
    <w:p w14:paraId="202FC116" w14:textId="7C44E465" w:rsidR="001838B8" w:rsidRDefault="00A731EB">
      <w:pPr>
        <w:jc w:val="right"/>
        <w:rPr>
          <w:b/>
          <w:color w:val="1F497D"/>
          <w:sz w:val="28"/>
          <w:szCs w:val="28"/>
        </w:rPr>
      </w:pPr>
      <w:r>
        <w:rPr>
          <w:b/>
          <w:color w:val="1F497D"/>
          <w:sz w:val="28"/>
          <w:szCs w:val="28"/>
        </w:rPr>
        <w:t xml:space="preserve">Version </w:t>
      </w:r>
      <w:r w:rsidR="0027507B">
        <w:rPr>
          <w:b/>
          <w:color w:val="1F497D"/>
          <w:sz w:val="28"/>
          <w:szCs w:val="28"/>
        </w:rPr>
        <w:t>August</w:t>
      </w:r>
      <w:r>
        <w:rPr>
          <w:b/>
          <w:color w:val="1F497D"/>
          <w:sz w:val="28"/>
          <w:szCs w:val="28"/>
        </w:rPr>
        <w:t xml:space="preserve"> 202</w:t>
      </w:r>
      <w:r w:rsidR="0027507B">
        <w:rPr>
          <w:b/>
          <w:color w:val="1F497D"/>
          <w:sz w:val="28"/>
          <w:szCs w:val="28"/>
        </w:rPr>
        <w:t>4</w:t>
      </w:r>
    </w:p>
    <w:p w14:paraId="202FC117" w14:textId="77777777" w:rsidR="001838B8" w:rsidRDefault="00A731EB">
      <w:pPr>
        <w:jc w:val="center"/>
        <w:rPr>
          <w:rFonts w:ascii="Montserrat" w:eastAsia="Montserrat" w:hAnsi="Montserrat" w:cs="Montserrat"/>
          <w:b/>
          <w:color w:val="1F497D"/>
          <w:sz w:val="28"/>
          <w:szCs w:val="28"/>
        </w:rPr>
      </w:pPr>
      <w:r>
        <w:rPr>
          <w:noProof/>
          <w:color w:val="030B3B"/>
          <w:sz w:val="52"/>
          <w:szCs w:val="52"/>
        </w:rPr>
        <w:drawing>
          <wp:anchor distT="0" distB="0" distL="114300" distR="114300" simplePos="0" relativeHeight="251651584" behindDoc="0" locked="0" layoutInCell="1" hidden="0" allowOverlap="1" wp14:anchorId="202FC3DA" wp14:editId="202FC3DB">
            <wp:simplePos x="0" y="0"/>
            <wp:positionH relativeFrom="margin">
              <wp:posOffset>3813809</wp:posOffset>
            </wp:positionH>
            <wp:positionV relativeFrom="page">
              <wp:posOffset>9176385</wp:posOffset>
            </wp:positionV>
            <wp:extent cx="1981200" cy="750866"/>
            <wp:effectExtent l="0" t="0" r="0" b="0"/>
            <wp:wrapNone/>
            <wp:docPr id="1349101644"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10"/>
                    <a:srcRect t="497" b="498"/>
                    <a:stretch>
                      <a:fillRect/>
                    </a:stretch>
                  </pic:blipFill>
                  <pic:spPr>
                    <a:xfrm>
                      <a:off x="0" y="0"/>
                      <a:ext cx="1981200" cy="750866"/>
                    </a:xfrm>
                    <a:prstGeom prst="rect">
                      <a:avLst/>
                    </a:prstGeom>
                    <a:ln/>
                  </pic:spPr>
                </pic:pic>
              </a:graphicData>
            </a:graphic>
          </wp:anchor>
        </w:drawing>
      </w:r>
      <w:r>
        <w:br w:type="page"/>
      </w:r>
    </w:p>
    <w:p w14:paraId="202FC118" w14:textId="77777777" w:rsidR="001838B8" w:rsidRDefault="00A731EB" w:rsidP="008D74AA">
      <w:pPr>
        <w:spacing w:after="60"/>
        <w:jc w:val="both"/>
        <w:rPr>
          <w:b/>
          <w:sz w:val="24"/>
          <w:szCs w:val="24"/>
        </w:rPr>
      </w:pPr>
      <w:r>
        <w:rPr>
          <w:b/>
          <w:sz w:val="24"/>
          <w:szCs w:val="24"/>
        </w:rPr>
        <w:lastRenderedPageBreak/>
        <w:t>Initiative for Climate Action Transparency - ICAT -</w:t>
      </w:r>
    </w:p>
    <w:p w14:paraId="202FC119" w14:textId="4BCA025E" w:rsidR="001838B8" w:rsidRDefault="00A731EB">
      <w:pPr>
        <w:jc w:val="both"/>
        <w:rPr>
          <w:b/>
          <w:sz w:val="24"/>
          <w:szCs w:val="24"/>
        </w:rPr>
      </w:pPr>
      <w:r>
        <w:rPr>
          <w:b/>
          <w:sz w:val="24"/>
          <w:szCs w:val="24"/>
        </w:rPr>
        <w:t>Guid</w:t>
      </w:r>
      <w:r w:rsidR="00B307DC">
        <w:rPr>
          <w:b/>
          <w:sz w:val="24"/>
          <w:szCs w:val="24"/>
        </w:rPr>
        <w:t>ance</w:t>
      </w:r>
      <w:r>
        <w:rPr>
          <w:b/>
          <w:sz w:val="24"/>
          <w:szCs w:val="24"/>
        </w:rPr>
        <w:t xml:space="preserve"> to the Greenhouse Gas Abatement Cost Model (GACMO)</w:t>
      </w:r>
    </w:p>
    <w:p w14:paraId="202FC11A" w14:textId="77777777" w:rsidR="001838B8" w:rsidRDefault="00A731EB">
      <w:pPr>
        <w:spacing w:after="60"/>
        <w:jc w:val="both"/>
        <w:rPr>
          <w:b/>
          <w:sz w:val="24"/>
          <w:szCs w:val="24"/>
        </w:rPr>
      </w:pPr>
      <w:r>
        <w:rPr>
          <w:b/>
          <w:color w:val="1F4E79"/>
        </w:rPr>
        <w:t>AUTHORS</w:t>
      </w:r>
    </w:p>
    <w:p w14:paraId="202FC11B" w14:textId="77777777" w:rsidR="001838B8" w:rsidRDefault="00A731EB">
      <w:pPr>
        <w:spacing w:after="0"/>
        <w:jc w:val="both"/>
      </w:pPr>
      <w:r>
        <w:t>Denis Desgain, UNEP Copenhagen Climate Center</w:t>
      </w:r>
    </w:p>
    <w:p w14:paraId="202FC11C" w14:textId="77777777" w:rsidR="001838B8" w:rsidRDefault="00A731EB">
      <w:pPr>
        <w:spacing w:after="0"/>
        <w:jc w:val="both"/>
      </w:pPr>
      <w:r>
        <w:t>Aiymgul Kerimray, UNEP Copenhagen Climate Center</w:t>
      </w:r>
    </w:p>
    <w:p w14:paraId="202FC11D" w14:textId="77777777" w:rsidR="001838B8" w:rsidRPr="00D722B1" w:rsidRDefault="00A731EB" w:rsidP="00CC3BB5">
      <w:pPr>
        <w:spacing w:after="0"/>
        <w:jc w:val="both"/>
        <w:rPr>
          <w:lang w:val="da-DK"/>
        </w:rPr>
      </w:pPr>
      <w:r w:rsidRPr="00D722B1">
        <w:rPr>
          <w:lang w:val="da-DK"/>
        </w:rPr>
        <w:t>Jacob Ipsen Hansen, UNEP Copenhagen Climate Center</w:t>
      </w:r>
      <w:r w:rsidRPr="00CC3BB5">
        <w:rPr>
          <w:vertAlign w:val="superscript"/>
        </w:rPr>
        <w:footnoteReference w:id="1"/>
      </w:r>
    </w:p>
    <w:p w14:paraId="6416F626" w14:textId="013B6677" w:rsidR="00CC3BB5" w:rsidRPr="00CC3BB5" w:rsidRDefault="006565E8" w:rsidP="00D722B1">
      <w:pPr>
        <w:spacing w:after="240"/>
        <w:jc w:val="both"/>
      </w:pPr>
      <w:r w:rsidRPr="006565E8">
        <w:t>Trupti Yargattimath</w:t>
      </w:r>
      <w:r w:rsidR="00CC3BB5" w:rsidRPr="00CC3BB5">
        <w:t>, UNEP Copenhagen Climate Center</w:t>
      </w:r>
    </w:p>
    <w:p w14:paraId="202FC11E" w14:textId="490DD8B6" w:rsidR="001838B8" w:rsidRPr="0027507B" w:rsidRDefault="00CC3BB5" w:rsidP="00D722B1">
      <w:pPr>
        <w:spacing w:after="0" w:line="360" w:lineRule="auto"/>
        <w:jc w:val="both"/>
        <w:rPr>
          <w:b/>
          <w:sz w:val="28"/>
          <w:szCs w:val="28"/>
        </w:rPr>
      </w:pPr>
      <w:r>
        <w:rPr>
          <w:b/>
          <w:color w:val="1F4E79"/>
        </w:rPr>
        <w:t>A</w:t>
      </w:r>
      <w:r w:rsidR="0027507B">
        <w:rPr>
          <w:b/>
          <w:color w:val="1F4E79"/>
        </w:rPr>
        <w:t>ugust</w:t>
      </w:r>
      <w:r w:rsidR="00A731EB" w:rsidRPr="0027507B">
        <w:rPr>
          <w:b/>
          <w:color w:val="1F4E79"/>
        </w:rPr>
        <w:t xml:space="preserve"> 202</w:t>
      </w:r>
      <w:r w:rsidR="0027507B">
        <w:rPr>
          <w:b/>
          <w:color w:val="1F4E79"/>
        </w:rPr>
        <w:t>4</w:t>
      </w:r>
    </w:p>
    <w:p w14:paraId="202FC11F" w14:textId="77777777" w:rsidR="001838B8" w:rsidRDefault="00A731EB">
      <w:pPr>
        <w:spacing w:after="60"/>
        <w:jc w:val="both"/>
        <w:rPr>
          <w:b/>
          <w:color w:val="1F4E79"/>
        </w:rPr>
      </w:pPr>
      <w:r>
        <w:rPr>
          <w:b/>
          <w:color w:val="1F4E79"/>
        </w:rPr>
        <w:t>COPYRIGHT©</w:t>
      </w:r>
    </w:p>
    <w:p w14:paraId="202FC120" w14:textId="77777777" w:rsidR="001838B8" w:rsidRDefault="00A731EB" w:rsidP="008D74AA">
      <w:pPr>
        <w:spacing w:after="240"/>
        <w:jc w:val="both"/>
      </w:pPr>
      <w:r>
        <w:t>This publication may be reproduced in whole or in part and in any form for educational or non-profit purposes without special permission from the copyright holder, provided acknowledgment of the source is made. UNEP Copenhagen Climate Center (UNEP-CCC) would appreciate receiving a copy of any publication that uses this publication as a source. No use of this publication may be made for resale or for any other commercial purpose whatsoever without prior permission in writing from UNEP-CCC.</w:t>
      </w:r>
    </w:p>
    <w:p w14:paraId="202FC121" w14:textId="77777777" w:rsidR="001838B8" w:rsidRDefault="00A731EB">
      <w:pPr>
        <w:spacing w:after="60"/>
        <w:jc w:val="both"/>
        <w:rPr>
          <w:b/>
          <w:color w:val="1F4E79"/>
        </w:rPr>
      </w:pPr>
      <w:r>
        <w:rPr>
          <w:b/>
          <w:color w:val="1F4E79"/>
        </w:rPr>
        <w:t>DISCLAIMER</w:t>
      </w:r>
    </w:p>
    <w:p w14:paraId="202FC122" w14:textId="77777777" w:rsidR="001838B8" w:rsidRDefault="00A731EB" w:rsidP="008D74AA">
      <w:pPr>
        <w:spacing w:after="240"/>
        <w:jc w:val="both"/>
      </w:pPr>
      <w:r>
        <w:t>This publication has been produced as part of a component of the Initiative for Climate Action Transparency project (ICAT) implemented by UNEP-CCC. The views expressed in this publication are those of the authors and do not necessarily reflect the views of UNEP-CCC.</w:t>
      </w:r>
    </w:p>
    <w:p w14:paraId="202FC123" w14:textId="77777777" w:rsidR="001838B8" w:rsidRDefault="0093669C">
      <w:pPr>
        <w:spacing w:after="60"/>
        <w:jc w:val="both"/>
        <w:rPr>
          <w:b/>
          <w:color w:val="1F4E79"/>
        </w:rPr>
      </w:pPr>
      <w:sdt>
        <w:sdtPr>
          <w:tag w:val="goog_rdk_1"/>
          <w:id w:val="-1623375129"/>
        </w:sdtPr>
        <w:sdtEndPr/>
        <w:sdtContent/>
      </w:sdt>
      <w:r w:rsidR="00A731EB">
        <w:rPr>
          <w:b/>
          <w:color w:val="1F4E79"/>
        </w:rPr>
        <w:t>PREPARED UNDER</w:t>
      </w:r>
    </w:p>
    <w:p w14:paraId="202FC124" w14:textId="5DD81A63" w:rsidR="001838B8" w:rsidRDefault="00A731EB">
      <w:pPr>
        <w:jc w:val="both"/>
      </w:pPr>
      <w:r>
        <w:t xml:space="preserve">The Initiative for Climate Action Transparency (ICAT), supported by Austria, </w:t>
      </w:r>
      <w:r w:rsidR="005F33E2">
        <w:t xml:space="preserve">Canada, </w:t>
      </w:r>
      <w:r>
        <w:t xml:space="preserve">Germany, Italy, the Children's Investment Fund Foundation and the </w:t>
      </w:r>
      <w:proofErr w:type="spellStart"/>
      <w:r>
        <w:t>ClimateWorks</w:t>
      </w:r>
      <w:proofErr w:type="spellEnd"/>
      <w:r>
        <w:t xml:space="preserve"> Foundation.</w:t>
      </w:r>
    </w:p>
    <w:p w14:paraId="202FC125" w14:textId="77777777" w:rsidR="001838B8" w:rsidRDefault="00A731EB">
      <w:pPr>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02FC3DC" wp14:editId="0ED60447">
            <wp:extent cx="5707550" cy="1240404"/>
            <wp:effectExtent l="0" t="0" r="7620" b="0"/>
            <wp:docPr id="13491016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17482" cy="1242562"/>
                    </a:xfrm>
                    <a:prstGeom prst="rect">
                      <a:avLst/>
                    </a:prstGeom>
                    <a:ln/>
                  </pic:spPr>
                </pic:pic>
              </a:graphicData>
            </a:graphic>
          </wp:inline>
        </w:drawing>
      </w:r>
    </w:p>
    <w:p w14:paraId="202FC126" w14:textId="77777777" w:rsidR="001838B8" w:rsidRDefault="00A731EB">
      <w:pPr>
        <w:jc w:val="both"/>
        <w:rPr>
          <w:rFonts w:ascii="Montserrat" w:eastAsia="Montserrat" w:hAnsi="Montserrat" w:cs="Montserrat"/>
          <w:b/>
          <w:color w:val="1F497D"/>
          <w:sz w:val="28"/>
          <w:szCs w:val="28"/>
        </w:rPr>
      </w:pPr>
      <w:r>
        <w:t>The ICAT project is managed by the United Nations Office for Project Services (UNOPS).</w:t>
      </w:r>
      <w:r>
        <w:br w:type="page"/>
      </w:r>
      <w:r>
        <w:rPr>
          <w:noProof/>
        </w:rPr>
        <w:drawing>
          <wp:anchor distT="0" distB="0" distL="0" distR="0" simplePos="0" relativeHeight="251655680" behindDoc="0" locked="0" layoutInCell="1" hidden="0" allowOverlap="1" wp14:anchorId="202FC3DE" wp14:editId="202FC3DF">
            <wp:simplePos x="0" y="0"/>
            <wp:positionH relativeFrom="column">
              <wp:posOffset>0</wp:posOffset>
            </wp:positionH>
            <wp:positionV relativeFrom="paragraph">
              <wp:posOffset>332</wp:posOffset>
            </wp:positionV>
            <wp:extent cx="1485900" cy="266700"/>
            <wp:effectExtent l="0" t="0" r="0" b="0"/>
            <wp:wrapTopAndBottom distT="0" distB="0"/>
            <wp:docPr id="13491016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485900" cy="266700"/>
                    </a:xfrm>
                    <a:prstGeom prst="rect">
                      <a:avLst/>
                    </a:prstGeom>
                    <a:ln/>
                  </pic:spPr>
                </pic:pic>
              </a:graphicData>
            </a:graphic>
          </wp:anchor>
        </w:drawing>
      </w:r>
    </w:p>
    <w:p w14:paraId="202FC127" w14:textId="77777777" w:rsidR="001838B8" w:rsidRDefault="00A731EB">
      <w:pPr>
        <w:keepNext/>
        <w:keepLines/>
        <w:pBdr>
          <w:top w:val="nil"/>
          <w:left w:val="nil"/>
          <w:bottom w:val="nil"/>
          <w:right w:val="nil"/>
          <w:between w:val="nil"/>
        </w:pBdr>
        <w:spacing w:before="480" w:after="0"/>
        <w:rPr>
          <w:rFonts w:ascii="Montserrat" w:eastAsia="Montserrat" w:hAnsi="Montserrat" w:cs="Montserrat"/>
          <w:b/>
          <w:color w:val="2E75B5"/>
          <w:sz w:val="36"/>
          <w:szCs w:val="36"/>
        </w:rPr>
      </w:pPr>
      <w:r>
        <w:rPr>
          <w:b/>
          <w:color w:val="2E75B5"/>
          <w:sz w:val="36"/>
          <w:szCs w:val="36"/>
        </w:rPr>
        <w:lastRenderedPageBreak/>
        <w:t>Table of content</w:t>
      </w:r>
    </w:p>
    <w:p w14:paraId="202FC128" w14:textId="77777777" w:rsidR="001838B8" w:rsidRDefault="001838B8"/>
    <w:sdt>
      <w:sdtPr>
        <w:id w:val="245688745"/>
        <w:docPartObj>
          <w:docPartGallery w:val="Table of Contents"/>
          <w:docPartUnique/>
        </w:docPartObj>
      </w:sdtPr>
      <w:sdtEndPr/>
      <w:sdtContent>
        <w:p w14:paraId="1D4D3DB6" w14:textId="75DD21A3" w:rsidR="00EB25A2" w:rsidRDefault="00A731EB">
          <w:pPr>
            <w:pStyle w:val="TOC1"/>
            <w:rPr>
              <w:rFonts w:asciiTheme="minorHAnsi" w:eastAsiaTheme="minorEastAsia" w:hAnsiTheme="minorHAnsi" w:cstheme="minorBidi"/>
              <w:noProof/>
              <w:kern w:val="2"/>
              <w14:ligatures w14:val="standardContextual"/>
            </w:rPr>
          </w:pPr>
          <w:r>
            <w:fldChar w:fldCharType="begin"/>
          </w:r>
          <w:r>
            <w:instrText xml:space="preserve"> TOC \h \u \z \t "Heading 1,1,Heading 2,2,Heading 3,3,"</w:instrText>
          </w:r>
          <w:r>
            <w:fldChar w:fldCharType="separate"/>
          </w:r>
          <w:hyperlink w:anchor="_Toc151557921" w:history="1">
            <w:r w:rsidR="00EB25A2" w:rsidRPr="00C22715">
              <w:rPr>
                <w:rStyle w:val="Hyperlink"/>
                <w:noProof/>
              </w:rPr>
              <w:t>GACMO COPYRIGHTS</w:t>
            </w:r>
            <w:r w:rsidR="00EB25A2">
              <w:rPr>
                <w:noProof/>
                <w:webHidden/>
              </w:rPr>
              <w:tab/>
            </w:r>
            <w:r w:rsidR="00EB25A2">
              <w:rPr>
                <w:noProof/>
                <w:webHidden/>
              </w:rPr>
              <w:fldChar w:fldCharType="begin"/>
            </w:r>
            <w:r w:rsidR="00EB25A2">
              <w:rPr>
                <w:noProof/>
                <w:webHidden/>
              </w:rPr>
              <w:instrText xml:space="preserve"> PAGEREF _Toc151557921 \h </w:instrText>
            </w:r>
            <w:r w:rsidR="00EB25A2">
              <w:rPr>
                <w:noProof/>
                <w:webHidden/>
              </w:rPr>
            </w:r>
            <w:r w:rsidR="00EB25A2">
              <w:rPr>
                <w:noProof/>
                <w:webHidden/>
              </w:rPr>
              <w:fldChar w:fldCharType="separate"/>
            </w:r>
            <w:r w:rsidR="0093669C">
              <w:rPr>
                <w:noProof/>
                <w:webHidden/>
              </w:rPr>
              <w:t>4</w:t>
            </w:r>
            <w:r w:rsidR="00EB25A2">
              <w:rPr>
                <w:noProof/>
                <w:webHidden/>
              </w:rPr>
              <w:fldChar w:fldCharType="end"/>
            </w:r>
          </w:hyperlink>
        </w:p>
        <w:p w14:paraId="37453D58" w14:textId="26878901" w:rsidR="00EB25A2" w:rsidRDefault="0093669C">
          <w:pPr>
            <w:pStyle w:val="TOC1"/>
            <w:rPr>
              <w:rFonts w:asciiTheme="minorHAnsi" w:eastAsiaTheme="minorEastAsia" w:hAnsiTheme="minorHAnsi" w:cstheme="minorBidi"/>
              <w:noProof/>
              <w:kern w:val="2"/>
              <w14:ligatures w14:val="standardContextual"/>
            </w:rPr>
          </w:pPr>
          <w:hyperlink w:anchor="_Toc151557922" w:history="1">
            <w:r w:rsidR="00EB25A2" w:rsidRPr="00C22715">
              <w:rPr>
                <w:rStyle w:val="Hyperlink"/>
                <w:noProof/>
              </w:rPr>
              <w:t>What is GACMO?</w:t>
            </w:r>
            <w:r w:rsidR="00EB25A2">
              <w:rPr>
                <w:noProof/>
                <w:webHidden/>
              </w:rPr>
              <w:tab/>
            </w:r>
            <w:r w:rsidR="00EB25A2">
              <w:rPr>
                <w:noProof/>
                <w:webHidden/>
              </w:rPr>
              <w:fldChar w:fldCharType="begin"/>
            </w:r>
            <w:r w:rsidR="00EB25A2">
              <w:rPr>
                <w:noProof/>
                <w:webHidden/>
              </w:rPr>
              <w:instrText xml:space="preserve"> PAGEREF _Toc151557922 \h </w:instrText>
            </w:r>
            <w:r w:rsidR="00EB25A2">
              <w:rPr>
                <w:noProof/>
                <w:webHidden/>
              </w:rPr>
            </w:r>
            <w:r w:rsidR="00EB25A2">
              <w:rPr>
                <w:noProof/>
                <w:webHidden/>
              </w:rPr>
              <w:fldChar w:fldCharType="separate"/>
            </w:r>
            <w:r>
              <w:rPr>
                <w:noProof/>
                <w:webHidden/>
              </w:rPr>
              <w:t>5</w:t>
            </w:r>
            <w:r w:rsidR="00EB25A2">
              <w:rPr>
                <w:noProof/>
                <w:webHidden/>
              </w:rPr>
              <w:fldChar w:fldCharType="end"/>
            </w:r>
          </w:hyperlink>
        </w:p>
        <w:p w14:paraId="764F331B" w14:textId="784C92AE" w:rsidR="00EB25A2" w:rsidRDefault="0093669C">
          <w:pPr>
            <w:pStyle w:val="TOC1"/>
            <w:rPr>
              <w:rFonts w:asciiTheme="minorHAnsi" w:eastAsiaTheme="minorEastAsia" w:hAnsiTheme="minorHAnsi" w:cstheme="minorBidi"/>
              <w:noProof/>
              <w:kern w:val="2"/>
              <w14:ligatures w14:val="standardContextual"/>
            </w:rPr>
          </w:pPr>
          <w:hyperlink w:anchor="_Toc151557923" w:history="1">
            <w:r w:rsidR="00EB25A2" w:rsidRPr="00C22715">
              <w:rPr>
                <w:rStyle w:val="Hyperlink"/>
                <w:noProof/>
              </w:rPr>
              <w:t>What is GACMO used for and what are the main results?</w:t>
            </w:r>
            <w:r w:rsidR="00EB25A2">
              <w:rPr>
                <w:noProof/>
                <w:webHidden/>
              </w:rPr>
              <w:tab/>
            </w:r>
            <w:r w:rsidR="00EB25A2">
              <w:rPr>
                <w:noProof/>
                <w:webHidden/>
              </w:rPr>
              <w:fldChar w:fldCharType="begin"/>
            </w:r>
            <w:r w:rsidR="00EB25A2">
              <w:rPr>
                <w:noProof/>
                <w:webHidden/>
              </w:rPr>
              <w:instrText xml:space="preserve"> PAGEREF _Toc151557923 \h </w:instrText>
            </w:r>
            <w:r w:rsidR="00EB25A2">
              <w:rPr>
                <w:noProof/>
                <w:webHidden/>
              </w:rPr>
            </w:r>
            <w:r w:rsidR="00EB25A2">
              <w:rPr>
                <w:noProof/>
                <w:webHidden/>
              </w:rPr>
              <w:fldChar w:fldCharType="separate"/>
            </w:r>
            <w:r>
              <w:rPr>
                <w:noProof/>
                <w:webHidden/>
              </w:rPr>
              <w:t>8</w:t>
            </w:r>
            <w:r w:rsidR="00EB25A2">
              <w:rPr>
                <w:noProof/>
                <w:webHidden/>
              </w:rPr>
              <w:fldChar w:fldCharType="end"/>
            </w:r>
          </w:hyperlink>
        </w:p>
        <w:p w14:paraId="5768805A" w14:textId="2B67F4E8" w:rsidR="00EB25A2" w:rsidRDefault="0093669C">
          <w:pPr>
            <w:pStyle w:val="TOC1"/>
            <w:rPr>
              <w:rFonts w:asciiTheme="minorHAnsi" w:eastAsiaTheme="minorEastAsia" w:hAnsiTheme="minorHAnsi" w:cstheme="minorBidi"/>
              <w:noProof/>
              <w:kern w:val="2"/>
              <w14:ligatures w14:val="standardContextual"/>
            </w:rPr>
          </w:pPr>
          <w:hyperlink w:anchor="_Toc151557924" w:history="1">
            <w:r w:rsidR="00EB25A2" w:rsidRPr="00C22715">
              <w:rPr>
                <w:rStyle w:val="Hyperlink"/>
                <w:noProof/>
              </w:rPr>
              <w:t>What is the structure of GACMO?</w:t>
            </w:r>
            <w:r w:rsidR="00EB25A2">
              <w:rPr>
                <w:noProof/>
                <w:webHidden/>
              </w:rPr>
              <w:tab/>
            </w:r>
            <w:r w:rsidR="00EB25A2">
              <w:rPr>
                <w:noProof/>
                <w:webHidden/>
              </w:rPr>
              <w:fldChar w:fldCharType="begin"/>
            </w:r>
            <w:r w:rsidR="00EB25A2">
              <w:rPr>
                <w:noProof/>
                <w:webHidden/>
              </w:rPr>
              <w:instrText xml:space="preserve"> PAGEREF _Toc151557924 \h </w:instrText>
            </w:r>
            <w:r w:rsidR="00EB25A2">
              <w:rPr>
                <w:noProof/>
                <w:webHidden/>
              </w:rPr>
            </w:r>
            <w:r w:rsidR="00EB25A2">
              <w:rPr>
                <w:noProof/>
                <w:webHidden/>
              </w:rPr>
              <w:fldChar w:fldCharType="separate"/>
            </w:r>
            <w:r>
              <w:rPr>
                <w:noProof/>
                <w:webHidden/>
              </w:rPr>
              <w:t>10</w:t>
            </w:r>
            <w:r w:rsidR="00EB25A2">
              <w:rPr>
                <w:noProof/>
                <w:webHidden/>
              </w:rPr>
              <w:fldChar w:fldCharType="end"/>
            </w:r>
          </w:hyperlink>
        </w:p>
        <w:p w14:paraId="5F10EC1D" w14:textId="7C364569" w:rsidR="00EB25A2" w:rsidRDefault="0093669C">
          <w:pPr>
            <w:pStyle w:val="TOC1"/>
            <w:rPr>
              <w:rFonts w:asciiTheme="minorHAnsi" w:eastAsiaTheme="minorEastAsia" w:hAnsiTheme="minorHAnsi" w:cstheme="minorBidi"/>
              <w:noProof/>
              <w:kern w:val="2"/>
              <w14:ligatures w14:val="standardContextual"/>
            </w:rPr>
          </w:pPr>
          <w:hyperlink w:anchor="_Toc151557925" w:history="1">
            <w:r w:rsidR="00EB25A2" w:rsidRPr="00C22715">
              <w:rPr>
                <w:rStyle w:val="Hyperlink"/>
                <w:noProof/>
              </w:rPr>
              <w:t>STEP-BY-STEP GUIDE ON THE USE OF GACMO</w:t>
            </w:r>
            <w:r w:rsidR="00EB25A2">
              <w:rPr>
                <w:noProof/>
                <w:webHidden/>
              </w:rPr>
              <w:tab/>
            </w:r>
            <w:r w:rsidR="00EB25A2">
              <w:rPr>
                <w:noProof/>
                <w:webHidden/>
              </w:rPr>
              <w:fldChar w:fldCharType="begin"/>
            </w:r>
            <w:r w:rsidR="00EB25A2">
              <w:rPr>
                <w:noProof/>
                <w:webHidden/>
              </w:rPr>
              <w:instrText xml:space="preserve"> PAGEREF _Toc151557925 \h </w:instrText>
            </w:r>
            <w:r w:rsidR="00EB25A2">
              <w:rPr>
                <w:noProof/>
                <w:webHidden/>
              </w:rPr>
            </w:r>
            <w:r w:rsidR="00EB25A2">
              <w:rPr>
                <w:noProof/>
                <w:webHidden/>
              </w:rPr>
              <w:fldChar w:fldCharType="separate"/>
            </w:r>
            <w:r>
              <w:rPr>
                <w:noProof/>
                <w:webHidden/>
              </w:rPr>
              <w:t>13</w:t>
            </w:r>
            <w:r w:rsidR="00EB25A2">
              <w:rPr>
                <w:noProof/>
                <w:webHidden/>
              </w:rPr>
              <w:fldChar w:fldCharType="end"/>
            </w:r>
          </w:hyperlink>
        </w:p>
        <w:p w14:paraId="273EF233" w14:textId="51FB65A6" w:rsidR="00EB25A2" w:rsidRDefault="0093669C">
          <w:pPr>
            <w:pStyle w:val="TOC2"/>
            <w:tabs>
              <w:tab w:val="right" w:leader="dot" w:pos="9016"/>
            </w:tabs>
            <w:rPr>
              <w:rFonts w:asciiTheme="minorHAnsi" w:eastAsiaTheme="minorEastAsia" w:hAnsiTheme="minorHAnsi" w:cstheme="minorBidi"/>
              <w:noProof/>
              <w:kern w:val="2"/>
              <w14:ligatures w14:val="standardContextual"/>
            </w:rPr>
          </w:pPr>
          <w:hyperlink w:anchor="_Toc151557926" w:history="1">
            <w:r w:rsidR="00EB25A2" w:rsidRPr="00C22715">
              <w:rPr>
                <w:rStyle w:val="Hyperlink"/>
                <w:noProof/>
              </w:rPr>
              <w:t>STEP 1 = The Assumptions sheet:</w:t>
            </w:r>
            <w:r w:rsidR="00EB25A2">
              <w:rPr>
                <w:noProof/>
                <w:webHidden/>
              </w:rPr>
              <w:tab/>
            </w:r>
            <w:r w:rsidR="00EB25A2">
              <w:rPr>
                <w:noProof/>
                <w:webHidden/>
              </w:rPr>
              <w:fldChar w:fldCharType="begin"/>
            </w:r>
            <w:r w:rsidR="00EB25A2">
              <w:rPr>
                <w:noProof/>
                <w:webHidden/>
              </w:rPr>
              <w:instrText xml:space="preserve"> PAGEREF _Toc151557926 \h </w:instrText>
            </w:r>
            <w:r w:rsidR="00EB25A2">
              <w:rPr>
                <w:noProof/>
                <w:webHidden/>
              </w:rPr>
            </w:r>
            <w:r w:rsidR="00EB25A2">
              <w:rPr>
                <w:noProof/>
                <w:webHidden/>
              </w:rPr>
              <w:fldChar w:fldCharType="separate"/>
            </w:r>
            <w:r>
              <w:rPr>
                <w:noProof/>
                <w:webHidden/>
              </w:rPr>
              <w:t>13</w:t>
            </w:r>
            <w:r w:rsidR="00EB25A2">
              <w:rPr>
                <w:noProof/>
                <w:webHidden/>
              </w:rPr>
              <w:fldChar w:fldCharType="end"/>
            </w:r>
          </w:hyperlink>
        </w:p>
        <w:p w14:paraId="34DE43F4" w14:textId="2C7D6303" w:rsidR="00EB25A2" w:rsidRDefault="0093669C">
          <w:pPr>
            <w:pStyle w:val="TOC2"/>
            <w:tabs>
              <w:tab w:val="right" w:leader="dot" w:pos="9016"/>
            </w:tabs>
            <w:rPr>
              <w:rFonts w:asciiTheme="minorHAnsi" w:eastAsiaTheme="minorEastAsia" w:hAnsiTheme="minorHAnsi" w:cstheme="minorBidi"/>
              <w:noProof/>
              <w:kern w:val="2"/>
              <w14:ligatures w14:val="standardContextual"/>
            </w:rPr>
          </w:pPr>
          <w:hyperlink w:anchor="_Toc151557927" w:history="1">
            <w:r w:rsidR="00EB25A2" w:rsidRPr="00C22715">
              <w:rPr>
                <w:rStyle w:val="Hyperlink"/>
                <w:noProof/>
              </w:rPr>
              <w:t>STEP 2 = The Energy Balance sheet:</w:t>
            </w:r>
            <w:r w:rsidR="00EB25A2">
              <w:rPr>
                <w:noProof/>
                <w:webHidden/>
              </w:rPr>
              <w:tab/>
            </w:r>
            <w:r w:rsidR="00EB25A2">
              <w:rPr>
                <w:noProof/>
                <w:webHidden/>
              </w:rPr>
              <w:fldChar w:fldCharType="begin"/>
            </w:r>
            <w:r w:rsidR="00EB25A2">
              <w:rPr>
                <w:noProof/>
                <w:webHidden/>
              </w:rPr>
              <w:instrText xml:space="preserve"> PAGEREF _Toc151557927 \h </w:instrText>
            </w:r>
            <w:r w:rsidR="00EB25A2">
              <w:rPr>
                <w:noProof/>
                <w:webHidden/>
              </w:rPr>
            </w:r>
            <w:r w:rsidR="00EB25A2">
              <w:rPr>
                <w:noProof/>
                <w:webHidden/>
              </w:rPr>
              <w:fldChar w:fldCharType="separate"/>
            </w:r>
            <w:r>
              <w:rPr>
                <w:noProof/>
                <w:webHidden/>
              </w:rPr>
              <w:t>15</w:t>
            </w:r>
            <w:r w:rsidR="00EB25A2">
              <w:rPr>
                <w:noProof/>
                <w:webHidden/>
              </w:rPr>
              <w:fldChar w:fldCharType="end"/>
            </w:r>
          </w:hyperlink>
        </w:p>
        <w:p w14:paraId="4DE1AEAC" w14:textId="7BC9B097" w:rsidR="00EB25A2" w:rsidRDefault="0093669C">
          <w:pPr>
            <w:pStyle w:val="TOC2"/>
            <w:tabs>
              <w:tab w:val="right" w:leader="dot" w:pos="9016"/>
            </w:tabs>
            <w:rPr>
              <w:rFonts w:asciiTheme="minorHAnsi" w:eastAsiaTheme="minorEastAsia" w:hAnsiTheme="minorHAnsi" w:cstheme="minorBidi"/>
              <w:noProof/>
              <w:kern w:val="2"/>
              <w14:ligatures w14:val="standardContextual"/>
            </w:rPr>
          </w:pPr>
          <w:hyperlink w:anchor="_Toc151557928" w:history="1">
            <w:r w:rsidR="00EB25A2" w:rsidRPr="00C22715">
              <w:rPr>
                <w:rStyle w:val="Hyperlink"/>
                <w:noProof/>
              </w:rPr>
              <w:t>STEP 3 = The GHG Balance sheet:</w:t>
            </w:r>
            <w:r w:rsidR="00EB25A2">
              <w:rPr>
                <w:noProof/>
                <w:webHidden/>
              </w:rPr>
              <w:tab/>
            </w:r>
            <w:r w:rsidR="00EB25A2">
              <w:rPr>
                <w:noProof/>
                <w:webHidden/>
              </w:rPr>
              <w:fldChar w:fldCharType="begin"/>
            </w:r>
            <w:r w:rsidR="00EB25A2">
              <w:rPr>
                <w:noProof/>
                <w:webHidden/>
              </w:rPr>
              <w:instrText xml:space="preserve"> PAGEREF _Toc151557928 \h </w:instrText>
            </w:r>
            <w:r w:rsidR="00EB25A2">
              <w:rPr>
                <w:noProof/>
                <w:webHidden/>
              </w:rPr>
            </w:r>
            <w:r w:rsidR="00EB25A2">
              <w:rPr>
                <w:noProof/>
                <w:webHidden/>
              </w:rPr>
              <w:fldChar w:fldCharType="separate"/>
            </w:r>
            <w:r>
              <w:rPr>
                <w:noProof/>
                <w:webHidden/>
              </w:rPr>
              <w:t>16</w:t>
            </w:r>
            <w:r w:rsidR="00EB25A2">
              <w:rPr>
                <w:noProof/>
                <w:webHidden/>
              </w:rPr>
              <w:fldChar w:fldCharType="end"/>
            </w:r>
          </w:hyperlink>
        </w:p>
        <w:p w14:paraId="65F6DDD0" w14:textId="35C94C79" w:rsidR="00EB25A2" w:rsidRDefault="0093669C">
          <w:pPr>
            <w:pStyle w:val="TOC2"/>
            <w:tabs>
              <w:tab w:val="right" w:leader="dot" w:pos="9016"/>
            </w:tabs>
            <w:rPr>
              <w:rFonts w:asciiTheme="minorHAnsi" w:eastAsiaTheme="minorEastAsia" w:hAnsiTheme="minorHAnsi" w:cstheme="minorBidi"/>
              <w:noProof/>
              <w:kern w:val="2"/>
              <w14:ligatures w14:val="standardContextual"/>
            </w:rPr>
          </w:pPr>
          <w:hyperlink w:anchor="_Toc151557929" w:history="1">
            <w:r w:rsidR="00EB25A2" w:rsidRPr="00C22715">
              <w:rPr>
                <w:rStyle w:val="Hyperlink"/>
                <w:noProof/>
              </w:rPr>
              <w:t>STEP 4 = The Growth sheet:</w:t>
            </w:r>
            <w:r w:rsidR="00EB25A2">
              <w:rPr>
                <w:noProof/>
                <w:webHidden/>
              </w:rPr>
              <w:tab/>
            </w:r>
            <w:r w:rsidR="00EB25A2">
              <w:rPr>
                <w:noProof/>
                <w:webHidden/>
              </w:rPr>
              <w:fldChar w:fldCharType="begin"/>
            </w:r>
            <w:r w:rsidR="00EB25A2">
              <w:rPr>
                <w:noProof/>
                <w:webHidden/>
              </w:rPr>
              <w:instrText xml:space="preserve"> PAGEREF _Toc151557929 \h </w:instrText>
            </w:r>
            <w:r w:rsidR="00EB25A2">
              <w:rPr>
                <w:noProof/>
                <w:webHidden/>
              </w:rPr>
            </w:r>
            <w:r w:rsidR="00EB25A2">
              <w:rPr>
                <w:noProof/>
                <w:webHidden/>
              </w:rPr>
              <w:fldChar w:fldCharType="separate"/>
            </w:r>
            <w:r>
              <w:rPr>
                <w:noProof/>
                <w:webHidden/>
              </w:rPr>
              <w:t>16</w:t>
            </w:r>
            <w:r w:rsidR="00EB25A2">
              <w:rPr>
                <w:noProof/>
                <w:webHidden/>
              </w:rPr>
              <w:fldChar w:fldCharType="end"/>
            </w:r>
          </w:hyperlink>
        </w:p>
        <w:p w14:paraId="4AA872E4" w14:textId="62818805" w:rsidR="00EB25A2" w:rsidRDefault="0093669C">
          <w:pPr>
            <w:pStyle w:val="TOC2"/>
            <w:tabs>
              <w:tab w:val="right" w:leader="dot" w:pos="9016"/>
            </w:tabs>
            <w:rPr>
              <w:rFonts w:asciiTheme="minorHAnsi" w:eastAsiaTheme="minorEastAsia" w:hAnsiTheme="minorHAnsi" w:cstheme="minorBidi"/>
              <w:noProof/>
              <w:kern w:val="2"/>
              <w14:ligatures w14:val="standardContextual"/>
            </w:rPr>
          </w:pPr>
          <w:hyperlink w:anchor="_Toc151557930" w:history="1">
            <w:r w:rsidR="00EB25A2" w:rsidRPr="00C22715">
              <w:rPr>
                <w:rStyle w:val="Hyperlink"/>
                <w:noProof/>
              </w:rPr>
              <w:t>STEP 5 = The BAU projected Energy Balances sheet:</w:t>
            </w:r>
            <w:r w:rsidR="00EB25A2">
              <w:rPr>
                <w:noProof/>
                <w:webHidden/>
              </w:rPr>
              <w:tab/>
            </w:r>
            <w:r w:rsidR="00EB25A2">
              <w:rPr>
                <w:noProof/>
                <w:webHidden/>
              </w:rPr>
              <w:fldChar w:fldCharType="begin"/>
            </w:r>
            <w:r w:rsidR="00EB25A2">
              <w:rPr>
                <w:noProof/>
                <w:webHidden/>
              </w:rPr>
              <w:instrText xml:space="preserve"> PAGEREF _Toc151557930 \h </w:instrText>
            </w:r>
            <w:r w:rsidR="00EB25A2">
              <w:rPr>
                <w:noProof/>
                <w:webHidden/>
              </w:rPr>
            </w:r>
            <w:r w:rsidR="00EB25A2">
              <w:rPr>
                <w:noProof/>
                <w:webHidden/>
              </w:rPr>
              <w:fldChar w:fldCharType="separate"/>
            </w:r>
            <w:r>
              <w:rPr>
                <w:noProof/>
                <w:webHidden/>
              </w:rPr>
              <w:t>17</w:t>
            </w:r>
            <w:r w:rsidR="00EB25A2">
              <w:rPr>
                <w:noProof/>
                <w:webHidden/>
              </w:rPr>
              <w:fldChar w:fldCharType="end"/>
            </w:r>
          </w:hyperlink>
        </w:p>
        <w:p w14:paraId="3B4C781C" w14:textId="63E21836" w:rsidR="00EB25A2" w:rsidRDefault="0093669C">
          <w:pPr>
            <w:pStyle w:val="TOC2"/>
            <w:tabs>
              <w:tab w:val="right" w:leader="dot" w:pos="9016"/>
            </w:tabs>
            <w:rPr>
              <w:rFonts w:asciiTheme="minorHAnsi" w:eastAsiaTheme="minorEastAsia" w:hAnsiTheme="minorHAnsi" w:cstheme="minorBidi"/>
              <w:noProof/>
              <w:kern w:val="2"/>
              <w14:ligatures w14:val="standardContextual"/>
            </w:rPr>
          </w:pPr>
          <w:hyperlink w:anchor="_Toc151557931" w:history="1">
            <w:r w:rsidR="00EB25A2" w:rsidRPr="00C22715">
              <w:rPr>
                <w:rStyle w:val="Hyperlink"/>
                <w:noProof/>
              </w:rPr>
              <w:t>STEP 6 = The BAU projected GHG Balances sheet:</w:t>
            </w:r>
            <w:r w:rsidR="00EB25A2">
              <w:rPr>
                <w:noProof/>
                <w:webHidden/>
              </w:rPr>
              <w:tab/>
            </w:r>
            <w:r w:rsidR="00EB25A2">
              <w:rPr>
                <w:noProof/>
                <w:webHidden/>
              </w:rPr>
              <w:fldChar w:fldCharType="begin"/>
            </w:r>
            <w:r w:rsidR="00EB25A2">
              <w:rPr>
                <w:noProof/>
                <w:webHidden/>
              </w:rPr>
              <w:instrText xml:space="preserve"> PAGEREF _Toc151557931 \h </w:instrText>
            </w:r>
            <w:r w:rsidR="00EB25A2">
              <w:rPr>
                <w:noProof/>
                <w:webHidden/>
              </w:rPr>
            </w:r>
            <w:r w:rsidR="00EB25A2">
              <w:rPr>
                <w:noProof/>
                <w:webHidden/>
              </w:rPr>
              <w:fldChar w:fldCharType="separate"/>
            </w:r>
            <w:r>
              <w:rPr>
                <w:noProof/>
                <w:webHidden/>
              </w:rPr>
              <w:t>18</w:t>
            </w:r>
            <w:r w:rsidR="00EB25A2">
              <w:rPr>
                <w:noProof/>
                <w:webHidden/>
              </w:rPr>
              <w:fldChar w:fldCharType="end"/>
            </w:r>
          </w:hyperlink>
        </w:p>
        <w:p w14:paraId="7FA8977F" w14:textId="599E1B79" w:rsidR="00EB25A2" w:rsidRDefault="0093669C">
          <w:pPr>
            <w:pStyle w:val="TOC2"/>
            <w:tabs>
              <w:tab w:val="right" w:leader="dot" w:pos="9016"/>
            </w:tabs>
            <w:rPr>
              <w:rFonts w:asciiTheme="minorHAnsi" w:eastAsiaTheme="minorEastAsia" w:hAnsiTheme="minorHAnsi" w:cstheme="minorBidi"/>
              <w:noProof/>
              <w:kern w:val="2"/>
              <w14:ligatures w14:val="standardContextual"/>
            </w:rPr>
          </w:pPr>
          <w:hyperlink w:anchor="_Toc151557932" w:history="1">
            <w:r w:rsidR="00EB25A2" w:rsidRPr="00C22715">
              <w:rPr>
                <w:rStyle w:val="Hyperlink"/>
                <w:noProof/>
              </w:rPr>
              <w:t>STEP 7 = The Mitigation Option sheet:</w:t>
            </w:r>
            <w:r w:rsidR="00EB25A2">
              <w:rPr>
                <w:noProof/>
                <w:webHidden/>
              </w:rPr>
              <w:tab/>
            </w:r>
            <w:r w:rsidR="00EB25A2">
              <w:rPr>
                <w:noProof/>
                <w:webHidden/>
              </w:rPr>
              <w:fldChar w:fldCharType="begin"/>
            </w:r>
            <w:r w:rsidR="00EB25A2">
              <w:rPr>
                <w:noProof/>
                <w:webHidden/>
              </w:rPr>
              <w:instrText xml:space="preserve"> PAGEREF _Toc151557932 \h </w:instrText>
            </w:r>
            <w:r w:rsidR="00EB25A2">
              <w:rPr>
                <w:noProof/>
                <w:webHidden/>
              </w:rPr>
            </w:r>
            <w:r w:rsidR="00EB25A2">
              <w:rPr>
                <w:noProof/>
                <w:webHidden/>
              </w:rPr>
              <w:fldChar w:fldCharType="separate"/>
            </w:r>
            <w:r>
              <w:rPr>
                <w:noProof/>
                <w:webHidden/>
              </w:rPr>
              <w:t>19</w:t>
            </w:r>
            <w:r w:rsidR="00EB25A2">
              <w:rPr>
                <w:noProof/>
                <w:webHidden/>
              </w:rPr>
              <w:fldChar w:fldCharType="end"/>
            </w:r>
          </w:hyperlink>
        </w:p>
        <w:p w14:paraId="01C8CE5D" w14:textId="66080179" w:rsidR="00EB25A2" w:rsidRDefault="0093669C">
          <w:pPr>
            <w:pStyle w:val="TOC2"/>
            <w:tabs>
              <w:tab w:val="right" w:leader="dot" w:pos="9016"/>
            </w:tabs>
            <w:rPr>
              <w:rFonts w:asciiTheme="minorHAnsi" w:eastAsiaTheme="minorEastAsia" w:hAnsiTheme="minorHAnsi" w:cstheme="minorBidi"/>
              <w:noProof/>
              <w:kern w:val="2"/>
              <w14:ligatures w14:val="standardContextual"/>
            </w:rPr>
          </w:pPr>
          <w:hyperlink w:anchor="_Toc151557933" w:history="1">
            <w:r w:rsidR="00EB25A2" w:rsidRPr="00C22715">
              <w:rPr>
                <w:rStyle w:val="Hyperlink"/>
                <w:noProof/>
              </w:rPr>
              <w:t>Technology sheets</w:t>
            </w:r>
            <w:r w:rsidR="00EB25A2">
              <w:rPr>
                <w:noProof/>
                <w:webHidden/>
              </w:rPr>
              <w:tab/>
            </w:r>
            <w:r w:rsidR="00EB25A2">
              <w:rPr>
                <w:noProof/>
                <w:webHidden/>
              </w:rPr>
              <w:fldChar w:fldCharType="begin"/>
            </w:r>
            <w:r w:rsidR="00EB25A2">
              <w:rPr>
                <w:noProof/>
                <w:webHidden/>
              </w:rPr>
              <w:instrText xml:space="preserve"> PAGEREF _Toc151557933 \h </w:instrText>
            </w:r>
            <w:r w:rsidR="00EB25A2">
              <w:rPr>
                <w:noProof/>
                <w:webHidden/>
              </w:rPr>
            </w:r>
            <w:r w:rsidR="00EB25A2">
              <w:rPr>
                <w:noProof/>
                <w:webHidden/>
              </w:rPr>
              <w:fldChar w:fldCharType="separate"/>
            </w:r>
            <w:r>
              <w:rPr>
                <w:noProof/>
                <w:webHidden/>
              </w:rPr>
              <w:t>21</w:t>
            </w:r>
            <w:r w:rsidR="00EB25A2">
              <w:rPr>
                <w:noProof/>
                <w:webHidden/>
              </w:rPr>
              <w:fldChar w:fldCharType="end"/>
            </w:r>
          </w:hyperlink>
        </w:p>
        <w:p w14:paraId="0FA17691" w14:textId="6185E7D7" w:rsidR="00EB25A2" w:rsidRDefault="0093669C">
          <w:pPr>
            <w:pStyle w:val="TOC2"/>
            <w:tabs>
              <w:tab w:val="right" w:leader="dot" w:pos="9016"/>
            </w:tabs>
            <w:rPr>
              <w:rFonts w:asciiTheme="minorHAnsi" w:eastAsiaTheme="minorEastAsia" w:hAnsiTheme="minorHAnsi" w:cstheme="minorBidi"/>
              <w:noProof/>
              <w:kern w:val="2"/>
              <w14:ligatures w14:val="standardContextual"/>
            </w:rPr>
          </w:pPr>
          <w:hyperlink w:anchor="_Toc151557934" w:history="1">
            <w:r w:rsidR="00EB25A2" w:rsidRPr="00C22715">
              <w:rPr>
                <w:rStyle w:val="Hyperlink"/>
                <w:noProof/>
              </w:rPr>
              <w:t>STEP 8 = The Results sheet:</w:t>
            </w:r>
            <w:r w:rsidR="00EB25A2">
              <w:rPr>
                <w:noProof/>
                <w:webHidden/>
              </w:rPr>
              <w:tab/>
            </w:r>
            <w:r w:rsidR="00EB25A2">
              <w:rPr>
                <w:noProof/>
                <w:webHidden/>
              </w:rPr>
              <w:fldChar w:fldCharType="begin"/>
            </w:r>
            <w:r w:rsidR="00EB25A2">
              <w:rPr>
                <w:noProof/>
                <w:webHidden/>
              </w:rPr>
              <w:instrText xml:space="preserve"> PAGEREF _Toc151557934 \h </w:instrText>
            </w:r>
            <w:r w:rsidR="00EB25A2">
              <w:rPr>
                <w:noProof/>
                <w:webHidden/>
              </w:rPr>
            </w:r>
            <w:r w:rsidR="00EB25A2">
              <w:rPr>
                <w:noProof/>
                <w:webHidden/>
              </w:rPr>
              <w:fldChar w:fldCharType="separate"/>
            </w:r>
            <w:r>
              <w:rPr>
                <w:noProof/>
                <w:webHidden/>
              </w:rPr>
              <w:t>25</w:t>
            </w:r>
            <w:r w:rsidR="00EB25A2">
              <w:rPr>
                <w:noProof/>
                <w:webHidden/>
              </w:rPr>
              <w:fldChar w:fldCharType="end"/>
            </w:r>
          </w:hyperlink>
        </w:p>
        <w:p w14:paraId="404E55AC" w14:textId="493ACE52" w:rsidR="00EB25A2" w:rsidRDefault="0093669C">
          <w:pPr>
            <w:pStyle w:val="TOC2"/>
            <w:tabs>
              <w:tab w:val="right" w:leader="dot" w:pos="9016"/>
            </w:tabs>
            <w:rPr>
              <w:rFonts w:asciiTheme="minorHAnsi" w:eastAsiaTheme="minorEastAsia" w:hAnsiTheme="minorHAnsi" w:cstheme="minorBidi"/>
              <w:noProof/>
              <w:kern w:val="2"/>
              <w14:ligatures w14:val="standardContextual"/>
            </w:rPr>
          </w:pPr>
          <w:hyperlink w:anchor="_Toc151557935" w:history="1">
            <w:r w:rsidR="00EB25A2" w:rsidRPr="00C22715">
              <w:rPr>
                <w:rStyle w:val="Hyperlink"/>
                <w:noProof/>
              </w:rPr>
              <w:t>STEP 9 = The Tracking progress sheet:</w:t>
            </w:r>
            <w:r w:rsidR="00EB25A2">
              <w:rPr>
                <w:noProof/>
                <w:webHidden/>
              </w:rPr>
              <w:tab/>
            </w:r>
            <w:r w:rsidR="00EB25A2">
              <w:rPr>
                <w:noProof/>
                <w:webHidden/>
              </w:rPr>
              <w:fldChar w:fldCharType="begin"/>
            </w:r>
            <w:r w:rsidR="00EB25A2">
              <w:rPr>
                <w:noProof/>
                <w:webHidden/>
              </w:rPr>
              <w:instrText xml:space="preserve"> PAGEREF _Toc151557935 \h </w:instrText>
            </w:r>
            <w:r w:rsidR="00EB25A2">
              <w:rPr>
                <w:noProof/>
                <w:webHidden/>
              </w:rPr>
            </w:r>
            <w:r w:rsidR="00EB25A2">
              <w:rPr>
                <w:noProof/>
                <w:webHidden/>
              </w:rPr>
              <w:fldChar w:fldCharType="separate"/>
            </w:r>
            <w:r>
              <w:rPr>
                <w:noProof/>
                <w:webHidden/>
              </w:rPr>
              <w:t>26</w:t>
            </w:r>
            <w:r w:rsidR="00EB25A2">
              <w:rPr>
                <w:noProof/>
                <w:webHidden/>
              </w:rPr>
              <w:fldChar w:fldCharType="end"/>
            </w:r>
          </w:hyperlink>
        </w:p>
        <w:p w14:paraId="18396C6C" w14:textId="077AA271" w:rsidR="00EB25A2" w:rsidRDefault="0093669C">
          <w:pPr>
            <w:pStyle w:val="TOC1"/>
            <w:rPr>
              <w:rFonts w:asciiTheme="minorHAnsi" w:eastAsiaTheme="minorEastAsia" w:hAnsiTheme="minorHAnsi" w:cstheme="minorBidi"/>
              <w:noProof/>
              <w:kern w:val="2"/>
              <w14:ligatures w14:val="standardContextual"/>
            </w:rPr>
          </w:pPr>
          <w:hyperlink w:anchor="_Toc151557936" w:history="1">
            <w:r w:rsidR="00EB25A2" w:rsidRPr="00C22715">
              <w:rPr>
                <w:rStyle w:val="Hyperlink"/>
                <w:noProof/>
              </w:rPr>
              <w:t>APPENDIX 1 - List of emitting categories of activity included in the GACMO tool</w:t>
            </w:r>
            <w:r w:rsidR="00EB25A2">
              <w:rPr>
                <w:noProof/>
                <w:webHidden/>
              </w:rPr>
              <w:tab/>
            </w:r>
            <w:r w:rsidR="00EB25A2">
              <w:rPr>
                <w:noProof/>
                <w:webHidden/>
              </w:rPr>
              <w:fldChar w:fldCharType="begin"/>
            </w:r>
            <w:r w:rsidR="00EB25A2">
              <w:rPr>
                <w:noProof/>
                <w:webHidden/>
              </w:rPr>
              <w:instrText xml:space="preserve"> PAGEREF _Toc151557936 \h </w:instrText>
            </w:r>
            <w:r w:rsidR="00EB25A2">
              <w:rPr>
                <w:noProof/>
                <w:webHidden/>
              </w:rPr>
            </w:r>
            <w:r w:rsidR="00EB25A2">
              <w:rPr>
                <w:noProof/>
                <w:webHidden/>
              </w:rPr>
              <w:fldChar w:fldCharType="separate"/>
            </w:r>
            <w:r>
              <w:rPr>
                <w:noProof/>
                <w:webHidden/>
              </w:rPr>
              <w:t>28</w:t>
            </w:r>
            <w:r w:rsidR="00EB25A2">
              <w:rPr>
                <w:noProof/>
                <w:webHidden/>
              </w:rPr>
              <w:fldChar w:fldCharType="end"/>
            </w:r>
          </w:hyperlink>
        </w:p>
        <w:p w14:paraId="6E0122E7" w14:textId="0EBDD2DE" w:rsidR="00EB25A2" w:rsidRDefault="0093669C">
          <w:pPr>
            <w:pStyle w:val="TOC1"/>
            <w:rPr>
              <w:rFonts w:asciiTheme="minorHAnsi" w:eastAsiaTheme="minorEastAsia" w:hAnsiTheme="minorHAnsi" w:cstheme="minorBidi"/>
              <w:noProof/>
              <w:kern w:val="2"/>
              <w14:ligatures w14:val="standardContextual"/>
            </w:rPr>
          </w:pPr>
          <w:hyperlink w:anchor="_Toc151557937" w:history="1">
            <w:r w:rsidR="00EB25A2" w:rsidRPr="00C22715">
              <w:rPr>
                <w:rStyle w:val="Hyperlink"/>
                <w:noProof/>
              </w:rPr>
              <w:t>APPENDIX 2 - List of the mitigation options included in the GACMO tool</w:t>
            </w:r>
            <w:r w:rsidR="00EB25A2">
              <w:rPr>
                <w:noProof/>
                <w:webHidden/>
              </w:rPr>
              <w:tab/>
            </w:r>
            <w:r w:rsidR="00EB25A2">
              <w:rPr>
                <w:noProof/>
                <w:webHidden/>
              </w:rPr>
              <w:fldChar w:fldCharType="begin"/>
            </w:r>
            <w:r w:rsidR="00EB25A2">
              <w:rPr>
                <w:noProof/>
                <w:webHidden/>
              </w:rPr>
              <w:instrText xml:space="preserve"> PAGEREF _Toc151557937 \h </w:instrText>
            </w:r>
            <w:r w:rsidR="00EB25A2">
              <w:rPr>
                <w:noProof/>
                <w:webHidden/>
              </w:rPr>
            </w:r>
            <w:r w:rsidR="00EB25A2">
              <w:rPr>
                <w:noProof/>
                <w:webHidden/>
              </w:rPr>
              <w:fldChar w:fldCharType="separate"/>
            </w:r>
            <w:r>
              <w:rPr>
                <w:noProof/>
                <w:webHidden/>
              </w:rPr>
              <w:t>30</w:t>
            </w:r>
            <w:r w:rsidR="00EB25A2">
              <w:rPr>
                <w:noProof/>
                <w:webHidden/>
              </w:rPr>
              <w:fldChar w:fldCharType="end"/>
            </w:r>
          </w:hyperlink>
        </w:p>
        <w:p w14:paraId="202FC130" w14:textId="3CA4F68C" w:rsidR="001838B8" w:rsidRDefault="00A731EB" w:rsidP="00C4239B">
          <w:pPr>
            <w:pStyle w:val="TOC1"/>
            <w:rPr>
              <w:rFonts w:ascii="Montserrat" w:eastAsia="Montserrat" w:hAnsi="Montserrat" w:cs="Montserrat"/>
            </w:rPr>
          </w:pPr>
          <w:r>
            <w:fldChar w:fldCharType="end"/>
          </w:r>
        </w:p>
      </w:sdtContent>
    </w:sdt>
    <w:p w14:paraId="202FC131" w14:textId="77777777" w:rsidR="001838B8" w:rsidRDefault="001838B8">
      <w:pPr>
        <w:spacing w:after="160" w:line="259" w:lineRule="auto"/>
        <w:rPr>
          <w:rFonts w:ascii="Montserrat" w:eastAsia="Montserrat" w:hAnsi="Montserrat" w:cs="Montserrat"/>
          <w:b/>
          <w:color w:val="1F497D"/>
          <w:sz w:val="28"/>
          <w:szCs w:val="28"/>
        </w:rPr>
      </w:pPr>
    </w:p>
    <w:p w14:paraId="202FC132" w14:textId="77777777" w:rsidR="001838B8" w:rsidRDefault="001838B8">
      <w:pPr>
        <w:spacing w:after="160" w:line="259" w:lineRule="auto"/>
        <w:rPr>
          <w:rFonts w:ascii="Montserrat" w:eastAsia="Montserrat" w:hAnsi="Montserrat" w:cs="Montserrat"/>
          <w:b/>
          <w:color w:val="1F497D"/>
          <w:sz w:val="28"/>
          <w:szCs w:val="28"/>
        </w:rPr>
      </w:pPr>
    </w:p>
    <w:p w14:paraId="202FC133" w14:textId="77777777" w:rsidR="001838B8" w:rsidRDefault="001838B8">
      <w:pPr>
        <w:spacing w:after="160" w:line="259" w:lineRule="auto"/>
        <w:rPr>
          <w:rFonts w:ascii="Montserrat" w:eastAsia="Montserrat" w:hAnsi="Montserrat" w:cs="Montserrat"/>
          <w:b/>
          <w:color w:val="1F497D"/>
          <w:sz w:val="28"/>
          <w:szCs w:val="28"/>
        </w:rPr>
      </w:pPr>
    </w:p>
    <w:p w14:paraId="202FC134" w14:textId="77777777" w:rsidR="001838B8" w:rsidRDefault="001838B8">
      <w:pPr>
        <w:spacing w:after="160" w:line="259" w:lineRule="auto"/>
        <w:rPr>
          <w:rFonts w:ascii="Montserrat" w:eastAsia="Montserrat" w:hAnsi="Montserrat" w:cs="Montserrat"/>
          <w:b/>
          <w:color w:val="1F497D"/>
          <w:sz w:val="28"/>
          <w:szCs w:val="28"/>
        </w:rPr>
      </w:pPr>
    </w:p>
    <w:p w14:paraId="202FC135" w14:textId="77777777" w:rsidR="001838B8" w:rsidRDefault="001838B8">
      <w:pPr>
        <w:spacing w:after="160" w:line="259" w:lineRule="auto"/>
        <w:rPr>
          <w:rFonts w:ascii="Montserrat" w:eastAsia="Montserrat" w:hAnsi="Montserrat" w:cs="Montserrat"/>
          <w:b/>
          <w:color w:val="1F497D"/>
          <w:sz w:val="28"/>
          <w:szCs w:val="28"/>
        </w:rPr>
      </w:pPr>
    </w:p>
    <w:p w14:paraId="202FC136" w14:textId="77777777" w:rsidR="001838B8" w:rsidRDefault="00A731EB">
      <w:pPr>
        <w:spacing w:after="160" w:line="259" w:lineRule="auto"/>
        <w:rPr>
          <w:rFonts w:ascii="Montserrat" w:eastAsia="Montserrat" w:hAnsi="Montserrat" w:cs="Montserrat"/>
          <w:b/>
          <w:color w:val="1F497D"/>
          <w:sz w:val="28"/>
          <w:szCs w:val="28"/>
        </w:rPr>
      </w:pPr>
      <w:r>
        <w:br w:type="page"/>
      </w:r>
    </w:p>
    <w:p w14:paraId="202FC137" w14:textId="77777777" w:rsidR="001838B8" w:rsidRDefault="00A731EB" w:rsidP="00F10795">
      <w:pPr>
        <w:pStyle w:val="Heading1"/>
        <w:spacing w:before="120" w:after="120"/>
        <w:rPr>
          <w:rFonts w:ascii="Calibri" w:eastAsia="Calibri" w:hAnsi="Calibri" w:cs="Calibri"/>
          <w:sz w:val="36"/>
          <w:szCs w:val="36"/>
        </w:rPr>
      </w:pPr>
      <w:bookmarkStart w:id="0" w:name="_Toc151557921"/>
      <w:r>
        <w:rPr>
          <w:rFonts w:ascii="Calibri" w:eastAsia="Calibri" w:hAnsi="Calibri" w:cs="Calibri"/>
          <w:sz w:val="36"/>
          <w:szCs w:val="36"/>
        </w:rPr>
        <w:lastRenderedPageBreak/>
        <w:t>GACMO COPYRIGHTS</w:t>
      </w:r>
      <w:bookmarkEnd w:id="0"/>
    </w:p>
    <w:p w14:paraId="202FC139" w14:textId="4E52EA3F" w:rsidR="001838B8" w:rsidRDefault="00A731EB">
      <w:pPr>
        <w:jc w:val="both"/>
      </w:pPr>
      <w:r>
        <w:t>The GACMO tool has been developed by the UNEP Copenhagen Climate Centre (UNEP-CCC).</w:t>
      </w:r>
      <w:r>
        <w:rPr>
          <w:vertAlign w:val="superscript"/>
        </w:rPr>
        <w:footnoteReference w:id="2"/>
      </w:r>
      <w:r>
        <w:t xml:space="preserve"> This version of the tool has been developed under the Initiative for Climate </w:t>
      </w:r>
      <w:r w:rsidR="00FC4860">
        <w:t xml:space="preserve">Action </w:t>
      </w:r>
      <w:r>
        <w:t xml:space="preserve">Transparency (ICAT). </w:t>
      </w:r>
    </w:p>
    <w:p w14:paraId="202FC13A" w14:textId="4380ACE7" w:rsidR="001838B8" w:rsidRDefault="00A731EB">
      <w:pPr>
        <w:jc w:val="both"/>
      </w:pPr>
      <w:r>
        <w:t xml:space="preserve">The tool is regularly updated. The last version of </w:t>
      </w:r>
      <w:r w:rsidR="00FD67CD">
        <w:t xml:space="preserve">the </w:t>
      </w:r>
      <w:r>
        <w:t xml:space="preserve">GACMO </w:t>
      </w:r>
      <w:r w:rsidR="00FD67CD">
        <w:t xml:space="preserve">tool </w:t>
      </w:r>
      <w:r>
        <w:t xml:space="preserve">is always made available on the UNEP-CCC website at </w:t>
      </w:r>
      <w:hyperlink r:id="rId13" w:history="1">
        <w:r w:rsidR="00550FD9" w:rsidRPr="002920B9">
          <w:rPr>
            <w:rStyle w:val="Hyperlink"/>
          </w:rPr>
          <w:t>https://unepccc.org/gacmo-tool/</w:t>
        </w:r>
      </w:hyperlink>
      <w:r w:rsidR="00550FD9">
        <w:t xml:space="preserve"> </w:t>
      </w:r>
      <w:r w:rsidR="00550FD9" w:rsidRPr="00550FD9" w:rsidDel="00550FD9">
        <w:t xml:space="preserve"> </w:t>
      </w:r>
    </w:p>
    <w:p w14:paraId="202FC13B" w14:textId="1500D967" w:rsidR="001838B8" w:rsidRDefault="00A731EB">
      <w:pPr>
        <w:jc w:val="both"/>
      </w:pPr>
      <w:r>
        <w:t xml:space="preserve">All the versions of </w:t>
      </w:r>
      <w:sdt>
        <w:sdtPr>
          <w:tag w:val="goog_rdk_2"/>
          <w:id w:val="1449664315"/>
        </w:sdtPr>
        <w:sdtEndPr/>
        <w:sdtContent/>
      </w:sdt>
      <w:r w:rsidR="00FD67CD">
        <w:t xml:space="preserve">the </w:t>
      </w:r>
      <w:r>
        <w:t>GACMO tool can be downloaded and used free of charge by any user and can be installed on a personal computer. However, commercial use of the GACMO tool without the prior authorization of UNEP-CCC</w:t>
      </w:r>
      <w:r w:rsidR="00B51591">
        <w:t xml:space="preserve"> is not permitted</w:t>
      </w:r>
      <w:r>
        <w:t>.</w:t>
      </w:r>
    </w:p>
    <w:p w14:paraId="202FC13C" w14:textId="77777777" w:rsidR="001838B8" w:rsidRDefault="00A731EB">
      <w:pPr>
        <w:jc w:val="both"/>
      </w:pPr>
      <w:r>
        <w:t xml:space="preserve"> For any inquiries and authorization requests, please contact UNEP-CCC at </w:t>
      </w:r>
      <w:hyperlink r:id="rId14">
        <w:r>
          <w:rPr>
            <w:color w:val="0000FF"/>
            <w:u w:val="single"/>
          </w:rPr>
          <w:t>unep-ccc@un.org</w:t>
        </w:r>
      </w:hyperlink>
      <w:r>
        <w:t xml:space="preserve">. </w:t>
      </w:r>
    </w:p>
    <w:p w14:paraId="202FC13D" w14:textId="77777777" w:rsidR="001838B8" w:rsidRDefault="001838B8">
      <w:pPr>
        <w:pStyle w:val="Heading1"/>
        <w:rPr>
          <w:rFonts w:ascii="Calibri" w:eastAsia="Calibri" w:hAnsi="Calibri" w:cs="Calibri"/>
        </w:rPr>
      </w:pPr>
    </w:p>
    <w:p w14:paraId="202FC13E" w14:textId="77777777" w:rsidR="001838B8" w:rsidRDefault="00A731EB">
      <w:pPr>
        <w:spacing w:after="160" w:line="259" w:lineRule="auto"/>
        <w:rPr>
          <w:color w:val="2E75B5"/>
          <w:sz w:val="32"/>
          <w:szCs w:val="32"/>
        </w:rPr>
      </w:pPr>
      <w:r>
        <w:br w:type="page"/>
      </w:r>
    </w:p>
    <w:p w14:paraId="202FC13F" w14:textId="77777777" w:rsidR="001838B8" w:rsidRDefault="00A731EB" w:rsidP="00F10795">
      <w:pPr>
        <w:pStyle w:val="Heading1"/>
        <w:spacing w:before="120" w:after="120"/>
        <w:rPr>
          <w:rFonts w:ascii="Calibri" w:eastAsia="Calibri" w:hAnsi="Calibri" w:cs="Calibri"/>
          <w:sz w:val="36"/>
          <w:szCs w:val="36"/>
        </w:rPr>
      </w:pPr>
      <w:bookmarkStart w:id="1" w:name="_Toc151557922"/>
      <w:r>
        <w:rPr>
          <w:rFonts w:ascii="Calibri" w:eastAsia="Calibri" w:hAnsi="Calibri" w:cs="Calibri"/>
          <w:sz w:val="36"/>
          <w:szCs w:val="36"/>
        </w:rPr>
        <w:lastRenderedPageBreak/>
        <w:t>What is GACMO?</w:t>
      </w:r>
      <w:bookmarkEnd w:id="1"/>
    </w:p>
    <w:p w14:paraId="202FC141" w14:textId="601C435A" w:rsidR="001838B8" w:rsidRDefault="00A731EB">
      <w:pPr>
        <w:jc w:val="both"/>
      </w:pPr>
      <w:r>
        <w:t xml:space="preserve">The GACMO (Greenhouse Gas Abatement Cost Model) tool is a </w:t>
      </w:r>
      <w:r w:rsidR="0008640D">
        <w:t xml:space="preserve">bottom-up </w:t>
      </w:r>
      <w:r w:rsidR="00FA2C3B">
        <w:t>greenhouse gas (</w:t>
      </w:r>
      <w:r>
        <w:t>GHG</w:t>
      </w:r>
      <w:r w:rsidR="00FA2C3B">
        <w:t>)</w:t>
      </w:r>
      <w:r>
        <w:t xml:space="preserve"> emissions modelling tool developed by UNEP Copenhagen Climate Centre (UNEP-CCC)</w:t>
      </w:r>
      <w:r w:rsidR="0008640D">
        <w:t>. The model has been developed</w:t>
      </w:r>
      <w:r>
        <w:t xml:space="preserve"> over </w:t>
      </w:r>
      <w:r w:rsidR="0008640D">
        <w:t xml:space="preserve">the course of </w:t>
      </w:r>
      <w:r>
        <w:t xml:space="preserve">more than </w:t>
      </w:r>
      <w:r w:rsidR="0034763C">
        <w:t>twenty</w:t>
      </w:r>
      <w:r>
        <w:t xml:space="preserve"> years.</w:t>
      </w:r>
    </w:p>
    <w:p w14:paraId="202FC142" w14:textId="1D9864BD" w:rsidR="001838B8" w:rsidRDefault="00A731EB">
      <w:pPr>
        <w:jc w:val="both"/>
      </w:pPr>
      <w:r>
        <w:t xml:space="preserve">The GACMO tool allows countries to carry out rapid but accurate evaluation of </w:t>
      </w:r>
      <w:r w:rsidR="00864D38">
        <w:t xml:space="preserve">how a variety of mitigation options impact </w:t>
      </w:r>
      <w:r>
        <w:t>GHG emissions. The tool is used to calculate the GHG emissions reductions resulting from specific mitigation actions and to establish a mitigation scenario built on the specific mitigation actions compared to a business</w:t>
      </w:r>
      <w:r w:rsidR="00B05D44">
        <w:t xml:space="preserve"> </w:t>
      </w:r>
      <w:r>
        <w:t>as</w:t>
      </w:r>
      <w:r w:rsidR="00B05D44">
        <w:t xml:space="preserve"> </w:t>
      </w:r>
      <w:r>
        <w:t>usual (BAU) scenario. The GACMO tool can thus support technical experts and decision-makers to assess and understand the GHG emissions impacts of climate mitigation actions.</w:t>
      </w:r>
    </w:p>
    <w:p w14:paraId="202FC143" w14:textId="00313B8C" w:rsidR="001838B8" w:rsidRDefault="00E6195D">
      <w:pPr>
        <w:jc w:val="both"/>
      </w:pPr>
      <w:r>
        <w:t xml:space="preserve">The </w:t>
      </w:r>
      <w:r w:rsidR="00A731EB">
        <w:t xml:space="preserve">GACMO </w:t>
      </w:r>
      <w:r>
        <w:t xml:space="preserve">tool </w:t>
      </w:r>
      <w:r w:rsidR="00A731EB">
        <w:t xml:space="preserve">can also be used to monitor the GHG emission reductions achieved through the effective implementation of mitigation options. Therefore, </w:t>
      </w:r>
      <w:r w:rsidR="004B0BE5">
        <w:t>it</w:t>
      </w:r>
      <w:r w:rsidR="00A731EB">
        <w:t xml:space="preserve"> can be used as a tool for </w:t>
      </w:r>
      <w:r w:rsidR="003D72AA">
        <w:t xml:space="preserve">tracking </w:t>
      </w:r>
      <w:r w:rsidR="00225202">
        <w:t xml:space="preserve">the </w:t>
      </w:r>
      <w:r w:rsidR="003D72AA">
        <w:t xml:space="preserve">progress in </w:t>
      </w:r>
      <w:r w:rsidR="00F14A80">
        <w:t>achiev</w:t>
      </w:r>
      <w:r w:rsidR="00C824EC">
        <w:t>ing</w:t>
      </w:r>
      <w:r w:rsidR="00F14A80">
        <w:t xml:space="preserve"> emissions reduction</w:t>
      </w:r>
      <w:r w:rsidR="00225202">
        <w:t>s</w:t>
      </w:r>
      <w:r w:rsidR="00F14A80">
        <w:t xml:space="preserve"> from </w:t>
      </w:r>
      <w:r w:rsidR="001B5347">
        <w:t xml:space="preserve">the implementation of </w:t>
      </w:r>
      <w:r w:rsidR="00A731EB">
        <w:t xml:space="preserve">climate change mitigation options, for example in the context of tracking the progress in implementing and achieving </w:t>
      </w:r>
      <w:r w:rsidR="002877F0">
        <w:t>the Nationally Determined Contribution (</w:t>
      </w:r>
      <w:r w:rsidR="00A731EB">
        <w:t>NDC</w:t>
      </w:r>
      <w:r w:rsidR="002877F0">
        <w:t>)</w:t>
      </w:r>
      <w:r w:rsidR="00A731EB">
        <w:t>.</w:t>
      </w:r>
    </w:p>
    <w:p w14:paraId="202FC144" w14:textId="485B4C6F" w:rsidR="001838B8" w:rsidRDefault="0093669C">
      <w:pPr>
        <w:jc w:val="both"/>
      </w:pPr>
      <w:sdt>
        <w:sdtPr>
          <w:tag w:val="goog_rdk_3"/>
          <w:id w:val="-1647122935"/>
        </w:sdtPr>
        <w:sdtEndPr/>
        <w:sdtContent/>
      </w:sdt>
      <w:r w:rsidR="004B0BE5">
        <w:t xml:space="preserve">The </w:t>
      </w:r>
      <w:r w:rsidR="00A731EB">
        <w:t xml:space="preserve">GACMO </w:t>
      </w:r>
      <w:r w:rsidR="004B0BE5">
        <w:t xml:space="preserve">tool </w:t>
      </w:r>
      <w:r w:rsidR="00A731EB">
        <w:t xml:space="preserve">can be used at the national level (country level) but can also be adapted to be used at the sub-national level (region or city). </w:t>
      </w:r>
      <w:r w:rsidR="004B0BE5">
        <w:t>It</w:t>
      </w:r>
      <w:r w:rsidR="00A731EB">
        <w:t xml:space="preserve"> can be very useful for the preparation of national reports such as </w:t>
      </w:r>
      <w:r w:rsidR="00D51D43">
        <w:t>n</w:t>
      </w:r>
      <w:r w:rsidR="00A731EB">
        <w:t xml:space="preserve">ational </w:t>
      </w:r>
      <w:r w:rsidR="00D51D43">
        <w:t>c</w:t>
      </w:r>
      <w:r w:rsidR="00A731EB">
        <w:t xml:space="preserve">ommunications, </w:t>
      </w:r>
      <w:r w:rsidR="00D51D43">
        <w:t>b</w:t>
      </w:r>
      <w:r w:rsidR="00A731EB">
        <w:t xml:space="preserve">iennial </w:t>
      </w:r>
      <w:r w:rsidR="00D51D43">
        <w:t>u</w:t>
      </w:r>
      <w:r w:rsidR="00A731EB">
        <w:t xml:space="preserve">pdate </w:t>
      </w:r>
      <w:r w:rsidR="00D51D43">
        <w:t>r</w:t>
      </w:r>
      <w:r w:rsidR="00A731EB">
        <w:t xml:space="preserve">eports (BURs), </w:t>
      </w:r>
      <w:r w:rsidR="00D51D43">
        <w:t>b</w:t>
      </w:r>
      <w:r w:rsidR="00A731EB">
        <w:t xml:space="preserve">iennial </w:t>
      </w:r>
      <w:r w:rsidR="00D51D43">
        <w:t>t</w:t>
      </w:r>
      <w:r w:rsidR="00A731EB">
        <w:t xml:space="preserve">ransparency </w:t>
      </w:r>
      <w:r w:rsidR="00D51D43">
        <w:t>r</w:t>
      </w:r>
      <w:r w:rsidR="00A731EB">
        <w:t>eports (BTRs)</w:t>
      </w:r>
      <w:r w:rsidR="000A7517">
        <w:t xml:space="preserve"> including </w:t>
      </w:r>
      <w:r w:rsidR="00087D47">
        <w:t>the</w:t>
      </w:r>
      <w:r w:rsidR="006A571C">
        <w:t xml:space="preserve"> </w:t>
      </w:r>
      <w:r w:rsidR="006A571C" w:rsidRPr="006A571C">
        <w:t>common tabular format</w:t>
      </w:r>
      <w:r w:rsidR="008962EF">
        <w:t xml:space="preserve"> tables</w:t>
      </w:r>
      <w:r w:rsidR="00013457">
        <w:t xml:space="preserve"> </w:t>
      </w:r>
      <w:r w:rsidR="00087D47">
        <w:t>(CTF)</w:t>
      </w:r>
      <w:r w:rsidR="00A731EB">
        <w:t>, or for the preparation and update of NDCs.</w:t>
      </w:r>
    </w:p>
    <w:p w14:paraId="202FC146" w14:textId="05B8184F" w:rsidR="001838B8" w:rsidRDefault="00A731EB">
      <w:pPr>
        <w:jc w:val="both"/>
      </w:pPr>
      <w:r>
        <w:t xml:space="preserve">This version of the GACMO tool includes </w:t>
      </w:r>
      <w:r w:rsidR="00D51D43">
        <w:t>seven</w:t>
      </w:r>
      <w:r>
        <w:t xml:space="preserve"> spreadsheets with technical data that the user needs to consider following a stepwise approach. The interface of the tool is made so that the user is taken from the first spreadsheet to the last spreadsheet following a logical order. The calculations and the generation of graphs are done in an automated way. This means that the user, who has the data required to use </w:t>
      </w:r>
      <w:r w:rsidR="00C032A3">
        <w:t xml:space="preserve">the </w:t>
      </w:r>
      <w:r>
        <w:t>GACMO</w:t>
      </w:r>
      <w:r w:rsidR="00C032A3">
        <w:t xml:space="preserve"> tool</w:t>
      </w:r>
      <w:r>
        <w:t xml:space="preserve">, does not need to be familiar with the calculations themselves </w:t>
      </w:r>
      <w:proofErr w:type="gramStart"/>
      <w:r>
        <w:t>in order to</w:t>
      </w:r>
      <w:proofErr w:type="gramEnd"/>
      <w:r>
        <w:t xml:space="preserve"> use the tool, but only with how to enter the inputs</w:t>
      </w:r>
      <w:r w:rsidR="00284F40">
        <w:t xml:space="preserve"> and</w:t>
      </w:r>
      <w:r>
        <w:t xml:space="preserve"> interpret the results.</w:t>
      </w:r>
    </w:p>
    <w:p w14:paraId="202FC147" w14:textId="6F5D53DF" w:rsidR="001838B8" w:rsidRDefault="008E74CD">
      <w:pPr>
        <w:jc w:val="both"/>
      </w:pPr>
      <w:r>
        <w:t xml:space="preserve">The </w:t>
      </w:r>
      <w:r w:rsidR="00A731EB">
        <w:t xml:space="preserve">GACMO </w:t>
      </w:r>
      <w:r>
        <w:t xml:space="preserve">tool </w:t>
      </w:r>
      <w:r w:rsidR="00A731EB">
        <w:t xml:space="preserve">also includes a series of default values, that are already pre-loaded in the tool and that the user does not have to update unless the user has better inputs and wants to make more precise estimates. These default values are all visible and accessible to the user. The first group of data with default values are those of key mitigation parameters, such as the IPCC database of emission factors (2006 IPCC Guidelines) and the global warming potential (GWP). In the case of GWP, </w:t>
      </w:r>
      <w:r>
        <w:t xml:space="preserve">the </w:t>
      </w:r>
      <w:r w:rsidR="00A731EB">
        <w:t xml:space="preserve">GACMO </w:t>
      </w:r>
      <w:r w:rsidRPr="00A97F79">
        <w:t xml:space="preserve">tool </w:t>
      </w:r>
      <w:r w:rsidR="00A731EB" w:rsidRPr="00A97F79">
        <w:t xml:space="preserve">uses by default the values of </w:t>
      </w:r>
      <w:r w:rsidR="00E83BD8" w:rsidRPr="00A97F79">
        <w:t>the fifth assessment</w:t>
      </w:r>
      <w:r w:rsidR="00E83BD8">
        <w:t xml:space="preserve"> report </w:t>
      </w:r>
      <w:r w:rsidR="00A97F79">
        <w:t>published by the IPCC</w:t>
      </w:r>
      <w:r w:rsidR="00A731EB">
        <w:t xml:space="preserve">, </w:t>
      </w:r>
      <w:r w:rsidR="001C213C">
        <w:t xml:space="preserve">as established </w:t>
      </w:r>
      <w:r w:rsidR="00661A97">
        <w:t>in t</w:t>
      </w:r>
      <w:r w:rsidR="00661A97" w:rsidRPr="00661A97">
        <w:t>he Modalities, Procedures, and Guidelines (MPGs) adopted in the Katowice Climate Package through decision 18/CMA</w:t>
      </w:r>
      <w:r w:rsidR="00661A97">
        <w:t>. However,</w:t>
      </w:r>
      <w:r w:rsidR="00A731EB">
        <w:t xml:space="preserve"> previous GWP values are also available in </w:t>
      </w:r>
      <w:r>
        <w:t>the tool</w:t>
      </w:r>
      <w:r w:rsidR="00A731EB">
        <w:t xml:space="preserve">. The second group of data with default values are those for the mitigation potential parameters and economic-financial parameters of each mitigation option and their corresponding reference option in the baseline situation. In this case, </w:t>
      </w:r>
      <w:r>
        <w:t xml:space="preserve">the </w:t>
      </w:r>
      <w:r w:rsidR="00A731EB">
        <w:t xml:space="preserve">GACMO </w:t>
      </w:r>
      <w:r>
        <w:t xml:space="preserve">tool </w:t>
      </w:r>
      <w:r w:rsidR="00A731EB">
        <w:t xml:space="preserve">uses by default, average values calculated from </w:t>
      </w:r>
      <w:r w:rsidR="00A731EB">
        <w:lastRenderedPageBreak/>
        <w:t xml:space="preserve">relevant CDM projects available on the CDM website and summarized in the project pipeline developed at UNEP-CCC. Experience has shown that the use of default values for data related to baseline and mitigation options works well in </w:t>
      </w:r>
      <w:r w:rsidR="006C3752">
        <w:t>the tool</w:t>
      </w:r>
      <w:r w:rsidR="00A731EB">
        <w:t xml:space="preserve">. However, it is </w:t>
      </w:r>
      <w:r w:rsidR="00184CC7">
        <w:t>recommended</w:t>
      </w:r>
      <w:r w:rsidR="00A731EB">
        <w:t xml:space="preserve"> for a GACMO user to modify those default values for </w:t>
      </w:r>
      <w:r w:rsidR="00902ED0">
        <w:t xml:space="preserve">the </w:t>
      </w:r>
      <w:r w:rsidR="00A731EB">
        <w:t>data related to the mitigation and reference options</w:t>
      </w:r>
      <w:r w:rsidR="00BE36FB">
        <w:t>,</w:t>
      </w:r>
      <w:r w:rsidR="00A731EB">
        <w:t xml:space="preserve"> </w:t>
      </w:r>
      <w:r w:rsidR="00BE36FB">
        <w:t>by</w:t>
      </w:r>
      <w:r w:rsidR="00A731EB">
        <w:t xml:space="preserve"> replac</w:t>
      </w:r>
      <w:r w:rsidR="00BE36FB">
        <w:t>ing</w:t>
      </w:r>
      <w:r w:rsidR="00A731EB">
        <w:t xml:space="preserve"> them with values specific to their case (</w:t>
      </w:r>
      <w:r w:rsidR="00765D3B">
        <w:t xml:space="preserve">e.g., </w:t>
      </w:r>
      <w:r w:rsidR="00A731EB">
        <w:t>country, city</w:t>
      </w:r>
      <w:r w:rsidR="005C72DB">
        <w:t>,</w:t>
      </w:r>
      <w:r w:rsidR="00A731EB">
        <w:t xml:space="preserve"> region, industrial activity). This allows </w:t>
      </w:r>
      <w:r w:rsidR="0066204B">
        <w:t xml:space="preserve">the user </w:t>
      </w:r>
      <w:r w:rsidR="00A731EB">
        <w:t xml:space="preserve">to </w:t>
      </w:r>
      <w:r w:rsidR="006C79F9">
        <w:t xml:space="preserve">adapt </w:t>
      </w:r>
      <w:r w:rsidR="00902ED0">
        <w:t xml:space="preserve">the </w:t>
      </w:r>
      <w:r w:rsidR="00A731EB">
        <w:t xml:space="preserve">GACMO </w:t>
      </w:r>
      <w:r w:rsidR="006C3752">
        <w:t xml:space="preserve">tool </w:t>
      </w:r>
      <w:r w:rsidR="00902ED0">
        <w:t>to</w:t>
      </w:r>
      <w:r w:rsidR="006C79F9">
        <w:t xml:space="preserve"> the</w:t>
      </w:r>
      <w:r w:rsidR="0066204B">
        <w:t xml:space="preserve"> specific</w:t>
      </w:r>
      <w:r w:rsidR="00902ED0">
        <w:t xml:space="preserve"> </w:t>
      </w:r>
      <w:r w:rsidR="006C79F9">
        <w:t>national/local context</w:t>
      </w:r>
      <w:r w:rsidR="00A731EB">
        <w:t>.</w:t>
      </w:r>
    </w:p>
    <w:p w14:paraId="202FC148" w14:textId="20122054" w:rsidR="001838B8" w:rsidRDefault="00A731EB">
      <w:pPr>
        <w:jc w:val="both"/>
      </w:pPr>
      <w:r>
        <w:t>The main data required to use</w:t>
      </w:r>
      <w:r w:rsidR="00E6179E">
        <w:t xml:space="preserve"> the</w:t>
      </w:r>
      <w:r>
        <w:t xml:space="preserve"> GACMO </w:t>
      </w:r>
      <w:r w:rsidR="00E6179E">
        <w:t xml:space="preserve">tool </w:t>
      </w:r>
      <w:r>
        <w:t>are those of the energy balance for a specific year (considered as the start year), that is</w:t>
      </w:r>
      <w:r w:rsidR="006C066C">
        <w:t>,</w:t>
      </w:r>
      <w:r>
        <w:t xml:space="preserve"> the data </w:t>
      </w:r>
      <w:r w:rsidR="006C066C">
        <w:t xml:space="preserve">on </w:t>
      </w:r>
      <w:r>
        <w:t>the sectoral energy consumption of fossil fuels and electricity of a country, as well as the GHG emissions for the other non-energy sectors for the same year (taken</w:t>
      </w:r>
      <w:r w:rsidR="001957DF">
        <w:t>,</w:t>
      </w:r>
      <w:r>
        <w:t xml:space="preserve"> for example</w:t>
      </w:r>
      <w:r w:rsidR="001957DF">
        <w:t>,</w:t>
      </w:r>
      <w:r>
        <w:t xml:space="preserve"> from a national GHG inventory report). From these data, </w:t>
      </w:r>
      <w:r w:rsidR="004E7F40">
        <w:t>GACMO estimates CO</w:t>
      </w:r>
      <w:r w:rsidR="004E7F40" w:rsidRPr="0077648A">
        <w:rPr>
          <w:vertAlign w:val="subscript"/>
        </w:rPr>
        <w:t>2</w:t>
      </w:r>
      <w:r w:rsidR="004E7F40">
        <w:t xml:space="preserve"> emissions from fuel combustion </w:t>
      </w:r>
      <w:r w:rsidR="00B41C57">
        <w:t xml:space="preserve">and </w:t>
      </w:r>
      <w:r w:rsidR="0015167F">
        <w:t xml:space="preserve">summarizes </w:t>
      </w:r>
      <w:r>
        <w:t xml:space="preserve">the GHG emissions for the start year, that is, for the year in which the data were collected (generally the most recent year for which the necessary data is available). Then, applying growth factors for each sector (these factors are specific to the country and are estimated and entered in </w:t>
      </w:r>
      <w:r w:rsidR="000B6B0C">
        <w:t>the tool</w:t>
      </w:r>
      <w:r>
        <w:t xml:space="preserve"> by the user), </w:t>
      </w:r>
      <w:r w:rsidR="000B6B0C">
        <w:t xml:space="preserve">the </w:t>
      </w:r>
      <w:r>
        <w:t xml:space="preserve">GACMO </w:t>
      </w:r>
      <w:r w:rsidR="000B6B0C">
        <w:t xml:space="preserve">tool </w:t>
      </w:r>
      <w:r>
        <w:t xml:space="preserve">will project the GHG emissions to build a reference scenario </w:t>
      </w:r>
      <w:r w:rsidR="004A36C4">
        <w:t>(</w:t>
      </w:r>
      <w:r>
        <w:t xml:space="preserve">also called baseline scenario or </w:t>
      </w:r>
      <w:r w:rsidR="005906CC">
        <w:t>b</w:t>
      </w:r>
      <w:r>
        <w:t xml:space="preserve">usiness as </w:t>
      </w:r>
      <w:r w:rsidR="005906CC">
        <w:t>u</w:t>
      </w:r>
      <w:r>
        <w:t xml:space="preserve">sual - BAU), </w:t>
      </w:r>
      <w:r w:rsidR="004A36C4">
        <w:t xml:space="preserve">that includes calculations for </w:t>
      </w:r>
      <w:r>
        <w:t>the years 2025, 2030, 2035</w:t>
      </w:r>
      <w:r w:rsidR="00FE2BEF">
        <w:t>,</w:t>
      </w:r>
      <w:r>
        <w:t xml:space="preserve"> </w:t>
      </w:r>
      <w:r w:rsidR="00811C44">
        <w:t xml:space="preserve">2040, 2045, </w:t>
      </w:r>
      <w:r w:rsidR="00093846">
        <w:t>and/or</w:t>
      </w:r>
      <w:r>
        <w:t xml:space="preserve"> 2050.</w:t>
      </w:r>
    </w:p>
    <w:p w14:paraId="1386E1FA" w14:textId="1FB80D7B" w:rsidR="00B41C57" w:rsidRDefault="00A731EB" w:rsidP="00266B2A">
      <w:pPr>
        <w:jc w:val="both"/>
      </w:pPr>
      <w:r>
        <w:t xml:space="preserve">To build the GHG mitigation scenario, </w:t>
      </w:r>
      <w:r w:rsidR="000B6B0C">
        <w:t xml:space="preserve">the </w:t>
      </w:r>
      <w:r>
        <w:t xml:space="preserve">GACMO </w:t>
      </w:r>
      <w:r w:rsidR="000B6B0C">
        <w:t xml:space="preserve">tool </w:t>
      </w:r>
      <w:r>
        <w:t xml:space="preserve">proposes a list of 119 mitigation options for different sectors. These mitigation options are organized into 24 categories of activities, such as agriculture, biomass energy, energy efficiency in homes, forestry, as well as geothermal, hydroelectric, </w:t>
      </w:r>
      <w:r w:rsidRPr="00B41C57">
        <w:t xml:space="preserve">solar, </w:t>
      </w:r>
      <w:r w:rsidR="004B1876">
        <w:t xml:space="preserve">and </w:t>
      </w:r>
      <w:r w:rsidRPr="00B41C57">
        <w:t xml:space="preserve">wind energy, among others. </w:t>
      </w:r>
      <w:r w:rsidR="00FB10D9" w:rsidRPr="00B41C57">
        <w:t xml:space="preserve">It </w:t>
      </w:r>
      <w:r w:rsidR="00177DF8" w:rsidRPr="00B41C57">
        <w:t>must</w:t>
      </w:r>
      <w:r w:rsidR="0009468B" w:rsidRPr="00B41C57">
        <w:t xml:space="preserve"> be noted that some mitigation options </w:t>
      </w:r>
      <w:r w:rsidR="00726148" w:rsidRPr="00B41C57">
        <w:t>included in</w:t>
      </w:r>
      <w:r w:rsidR="00945932" w:rsidRPr="00B41C57">
        <w:t xml:space="preserve"> </w:t>
      </w:r>
      <w:r w:rsidR="006F7F0C" w:rsidRPr="00B41C57">
        <w:t xml:space="preserve">the </w:t>
      </w:r>
      <w:r w:rsidR="00945932" w:rsidRPr="00B41C57">
        <w:t xml:space="preserve">GACMO </w:t>
      </w:r>
      <w:r w:rsidR="006F7F0C" w:rsidRPr="00B41C57">
        <w:t xml:space="preserve">tool </w:t>
      </w:r>
      <w:r w:rsidR="00945932" w:rsidRPr="00B41C57">
        <w:t xml:space="preserve">still </w:t>
      </w:r>
      <w:r w:rsidR="004D0F83" w:rsidRPr="00B41C57">
        <w:t>imply</w:t>
      </w:r>
      <w:r w:rsidR="00945932" w:rsidRPr="00B41C57">
        <w:t xml:space="preserve"> the use of fossil fuels</w:t>
      </w:r>
      <w:r w:rsidR="00A41410" w:rsidRPr="00B41C57">
        <w:t xml:space="preserve"> (e.g.</w:t>
      </w:r>
      <w:r w:rsidR="00177DF8">
        <w:t>,</w:t>
      </w:r>
      <w:r w:rsidR="00A41410" w:rsidRPr="00B41C57">
        <w:t xml:space="preserve"> energy efficiency improvement</w:t>
      </w:r>
      <w:r w:rsidR="00907CC9" w:rsidRPr="00B41C57">
        <w:t>, natural gas power plant</w:t>
      </w:r>
      <w:r w:rsidR="00A41410" w:rsidRPr="00B41C57">
        <w:t>)</w:t>
      </w:r>
      <w:r w:rsidR="006A0BAF" w:rsidRPr="00B41C57">
        <w:t xml:space="preserve">. Those mitigation options may lead to </w:t>
      </w:r>
      <w:r w:rsidR="00A004D7" w:rsidRPr="00B41C57">
        <w:t>emissions reductions</w:t>
      </w:r>
      <w:r w:rsidR="00B81295">
        <w:t>,</w:t>
      </w:r>
      <w:r w:rsidR="00A004D7" w:rsidRPr="00B41C57">
        <w:t xml:space="preserve"> </w:t>
      </w:r>
      <w:r w:rsidR="00AD018D">
        <w:t>though</w:t>
      </w:r>
      <w:r w:rsidR="00AD018D" w:rsidRPr="00B41C57">
        <w:t xml:space="preserve"> </w:t>
      </w:r>
      <w:r w:rsidR="00467B83">
        <w:t xml:space="preserve">may </w:t>
      </w:r>
      <w:r w:rsidR="00467B83" w:rsidRPr="00B41C57">
        <w:t xml:space="preserve">be </w:t>
      </w:r>
      <w:r w:rsidR="00AD018D">
        <w:t>in</w:t>
      </w:r>
      <w:r w:rsidR="00A75DA8" w:rsidRPr="00B41C57">
        <w:t>sufficient to</w:t>
      </w:r>
      <w:r w:rsidR="00A004D7">
        <w:t xml:space="preserve"> be</w:t>
      </w:r>
      <w:r w:rsidR="00A75DA8" w:rsidRPr="00B41C57">
        <w:t xml:space="preserve"> in line with</w:t>
      </w:r>
      <w:r w:rsidR="00945932" w:rsidRPr="00B41C57">
        <w:t xml:space="preserve"> </w:t>
      </w:r>
      <w:r w:rsidR="0076256B">
        <w:t xml:space="preserve">a </w:t>
      </w:r>
      <w:r w:rsidR="00907CC9" w:rsidRPr="00B41C57">
        <w:t>1.5</w:t>
      </w:r>
      <w:r w:rsidR="00D564F4" w:rsidRPr="00B41C57">
        <w:t>°C degree climate goal</w:t>
      </w:r>
      <w:r w:rsidR="00945932" w:rsidRPr="00B41C57">
        <w:t xml:space="preserve"> </w:t>
      </w:r>
      <w:r w:rsidR="006A0BAF" w:rsidRPr="00B41C57">
        <w:t>which implies</w:t>
      </w:r>
      <w:r w:rsidR="00F266F9" w:rsidRPr="00B41C57">
        <w:t xml:space="preserve"> global net anthropogenic CO</w:t>
      </w:r>
      <w:r w:rsidR="00F266F9" w:rsidRPr="00B41C57">
        <w:rPr>
          <w:vertAlign w:val="subscript"/>
        </w:rPr>
        <w:t>2</w:t>
      </w:r>
      <w:r w:rsidR="008B1286" w:rsidRPr="00B41C57">
        <w:rPr>
          <w:vertAlign w:val="subscript"/>
        </w:rPr>
        <w:t xml:space="preserve"> </w:t>
      </w:r>
      <w:r w:rsidR="008B1286" w:rsidRPr="00B41C57">
        <w:t xml:space="preserve">emissions reaching net zero around 2050. </w:t>
      </w:r>
      <w:r w:rsidR="00A05ABE" w:rsidRPr="00B41C57">
        <w:t>Though</w:t>
      </w:r>
      <w:r w:rsidR="00CE119C" w:rsidRPr="00B41C57">
        <w:t xml:space="preserve"> the</w:t>
      </w:r>
      <w:r w:rsidR="006F7F0C" w:rsidRPr="00B41C57">
        <w:t xml:space="preserve"> GACMO tool does not </w:t>
      </w:r>
      <w:r w:rsidR="00A05ABE" w:rsidRPr="00B41C57">
        <w:t xml:space="preserve">seek to promote such options, they are </w:t>
      </w:r>
      <w:r w:rsidR="0063220A" w:rsidRPr="00B41C57">
        <w:t xml:space="preserve">included in the list of mitigation options </w:t>
      </w:r>
      <w:r w:rsidR="00211257">
        <w:t>becaus</w:t>
      </w:r>
      <w:r w:rsidR="00B70FD1">
        <w:t>e</w:t>
      </w:r>
      <w:r w:rsidR="0063220A" w:rsidRPr="00B41C57">
        <w:t xml:space="preserve"> some countries still consider </w:t>
      </w:r>
      <w:r w:rsidR="000633A8" w:rsidRPr="00B41C57">
        <w:t>using</w:t>
      </w:r>
      <w:r w:rsidR="00C96921" w:rsidRPr="00B41C57">
        <w:t xml:space="preserve"> (</w:t>
      </w:r>
      <w:r w:rsidR="000D38E0" w:rsidRPr="00B41C57">
        <w:t>or</w:t>
      </w:r>
      <w:r w:rsidR="00A004D7">
        <w:t xml:space="preserve"> are</w:t>
      </w:r>
      <w:r w:rsidR="000D38E0" w:rsidRPr="00B41C57">
        <w:t xml:space="preserve"> </w:t>
      </w:r>
      <w:r w:rsidR="00C96921" w:rsidRPr="00B41C57">
        <w:t xml:space="preserve">in the process of implementing) </w:t>
      </w:r>
      <w:r w:rsidR="000633A8" w:rsidRPr="00B41C57">
        <w:t xml:space="preserve">them to reduce their emissions </w:t>
      </w:r>
      <w:r w:rsidR="002F3AE3" w:rsidRPr="00B41C57">
        <w:t>compared to the use of</w:t>
      </w:r>
      <w:r w:rsidR="000633A8" w:rsidRPr="00B41C57">
        <w:t xml:space="preserve"> high-emitting technologies</w:t>
      </w:r>
      <w:r w:rsidR="00C96921" w:rsidRPr="00B41C57">
        <w:t xml:space="preserve">. </w:t>
      </w:r>
      <w:r w:rsidR="008846C7">
        <w:t xml:space="preserve">In this context, the </w:t>
      </w:r>
      <w:r w:rsidR="00C96921" w:rsidRPr="00B41C57">
        <w:t xml:space="preserve">GACMO </w:t>
      </w:r>
      <w:r w:rsidR="008846C7">
        <w:t xml:space="preserve">tool </w:t>
      </w:r>
      <w:r w:rsidR="002063D7" w:rsidRPr="00B41C57">
        <w:t xml:space="preserve">can </w:t>
      </w:r>
      <w:r w:rsidR="008846C7">
        <w:t xml:space="preserve">also </w:t>
      </w:r>
      <w:r w:rsidR="007660A8" w:rsidRPr="00B41C57">
        <w:t xml:space="preserve">help to </w:t>
      </w:r>
      <w:r w:rsidR="008846C7">
        <w:t>analyse</w:t>
      </w:r>
      <w:r w:rsidR="007660A8" w:rsidRPr="00B41C57">
        <w:t xml:space="preserve"> </w:t>
      </w:r>
      <w:r w:rsidR="00266B2A" w:rsidRPr="00B41C57">
        <w:t>whether</w:t>
      </w:r>
      <w:r w:rsidR="00C96921" w:rsidRPr="00B41C57">
        <w:t xml:space="preserve"> </w:t>
      </w:r>
      <w:r w:rsidR="008846C7">
        <w:t xml:space="preserve">the </w:t>
      </w:r>
      <w:r w:rsidR="00C96921" w:rsidRPr="00B41C57">
        <w:t>mitigation actions</w:t>
      </w:r>
      <w:r w:rsidR="002728F9" w:rsidRPr="00B41C57">
        <w:t xml:space="preserve"> </w:t>
      </w:r>
      <w:r w:rsidR="00243EAB" w:rsidRPr="00B41C57">
        <w:t>adopted</w:t>
      </w:r>
      <w:r w:rsidR="0098194E">
        <w:t xml:space="preserve"> and/or </w:t>
      </w:r>
      <w:r w:rsidR="001B63E1" w:rsidRPr="00B41C57">
        <w:t>planned</w:t>
      </w:r>
      <w:r w:rsidR="00243EAB" w:rsidRPr="00B41C57">
        <w:t xml:space="preserve"> by </w:t>
      </w:r>
      <w:r w:rsidR="008846C7">
        <w:t xml:space="preserve">a </w:t>
      </w:r>
      <w:r w:rsidR="00243EAB" w:rsidRPr="00B41C57">
        <w:t xml:space="preserve">country </w:t>
      </w:r>
      <w:r w:rsidR="00266B2A" w:rsidRPr="00B41C57">
        <w:t>are in line with</w:t>
      </w:r>
      <w:r w:rsidR="00EB2A7B" w:rsidRPr="00B41C57">
        <w:t xml:space="preserve"> certain climate </w:t>
      </w:r>
      <w:r w:rsidR="008846C7">
        <w:t>goals</w:t>
      </w:r>
      <w:r w:rsidR="00C96921" w:rsidRPr="00B41C57">
        <w:t xml:space="preserve"> </w:t>
      </w:r>
      <w:r w:rsidR="00EB2A7B" w:rsidRPr="00B41C57">
        <w:t>(e.g.</w:t>
      </w:r>
      <w:r w:rsidR="00177DF8">
        <w:t>,</w:t>
      </w:r>
      <w:r w:rsidR="00EB2A7B" w:rsidRPr="00B41C57">
        <w:t xml:space="preserve"> </w:t>
      </w:r>
      <w:r w:rsidR="00243EAB" w:rsidRPr="00B41C57">
        <w:t>net-zero goal</w:t>
      </w:r>
      <w:r w:rsidR="00EB2A7B" w:rsidRPr="00B41C57">
        <w:t>)</w:t>
      </w:r>
      <w:r w:rsidR="006A0BAF" w:rsidRPr="00B41C57">
        <w:t>,</w:t>
      </w:r>
      <w:r w:rsidR="00363EA8" w:rsidRPr="00B41C57">
        <w:t xml:space="preserve"> and if not, </w:t>
      </w:r>
      <w:r w:rsidR="003E2196" w:rsidRPr="00B41C57">
        <w:t xml:space="preserve">help to select </w:t>
      </w:r>
      <w:r w:rsidR="00363EA8" w:rsidRPr="00B41C57">
        <w:t xml:space="preserve">which mitigation options </w:t>
      </w:r>
      <w:r w:rsidR="008846C7">
        <w:t xml:space="preserve">could be implemented to </w:t>
      </w:r>
      <w:r w:rsidR="00FE4DF8" w:rsidRPr="00B41C57">
        <w:t>meet</w:t>
      </w:r>
      <w:r w:rsidR="00F54F8E" w:rsidRPr="00B41C57">
        <w:t xml:space="preserve"> </w:t>
      </w:r>
      <w:r w:rsidR="008846C7">
        <w:t>those</w:t>
      </w:r>
      <w:r w:rsidR="00F54F8E" w:rsidRPr="00B41C57">
        <w:t xml:space="preserve"> goal</w:t>
      </w:r>
      <w:r w:rsidR="008846C7">
        <w:t>s</w:t>
      </w:r>
      <w:r w:rsidR="00243EAB" w:rsidRPr="00B41C57">
        <w:t>.</w:t>
      </w:r>
      <w:r w:rsidR="00243EAB">
        <w:t xml:space="preserve"> </w:t>
      </w:r>
    </w:p>
    <w:p w14:paraId="202FC149" w14:textId="789A820D" w:rsidR="001838B8" w:rsidRDefault="00A731EB" w:rsidP="00266B2A">
      <w:pPr>
        <w:jc w:val="both"/>
      </w:pPr>
      <w:r>
        <w:t xml:space="preserve">Once the mitigation options of interest have been selected by the user, the tool </w:t>
      </w:r>
      <w:r w:rsidR="00BE5FB4">
        <w:t xml:space="preserve">calculates </w:t>
      </w:r>
      <w:r>
        <w:t xml:space="preserve">the emissions based on the </w:t>
      </w:r>
      <w:r w:rsidR="007B0AF6">
        <w:t xml:space="preserve">defined </w:t>
      </w:r>
      <w:r>
        <w:t>growth factors and establishes a mitigation scenario towards the years 2025, 2030, 2035</w:t>
      </w:r>
      <w:r w:rsidR="00FE2BEF">
        <w:t>,</w:t>
      </w:r>
      <w:r>
        <w:t xml:space="preserve"> </w:t>
      </w:r>
      <w:r w:rsidR="00811C44">
        <w:t xml:space="preserve">2040, 2045, </w:t>
      </w:r>
      <w:r w:rsidR="00EA183A">
        <w:t>and/or</w:t>
      </w:r>
      <w:r>
        <w:t xml:space="preserve"> 2050. </w:t>
      </w:r>
      <w:r w:rsidR="00DB57B4">
        <w:t xml:space="preserve">The </w:t>
      </w:r>
      <w:r>
        <w:t xml:space="preserve">GACMO </w:t>
      </w:r>
      <w:r w:rsidR="00DB57B4">
        <w:t xml:space="preserve">tool </w:t>
      </w:r>
      <w:r>
        <w:t xml:space="preserve">calculates also the GHG emissions reductions and an approximation of the investment costs, as well as operation and maintenance </w:t>
      </w:r>
      <w:r w:rsidR="00721927">
        <w:t>costs that</w:t>
      </w:r>
      <w:r w:rsidR="006F4903">
        <w:t xml:space="preserve"> </w:t>
      </w:r>
      <w:r>
        <w:t>result from each selected mitigation action.</w:t>
      </w:r>
    </w:p>
    <w:p w14:paraId="202FC14B" w14:textId="25E94614" w:rsidR="001838B8" w:rsidRDefault="00A731EB">
      <w:r>
        <w:t xml:space="preserve">In summary, the key data used as inputs and required for running </w:t>
      </w:r>
      <w:r w:rsidR="00DB57B4">
        <w:t xml:space="preserve">the </w:t>
      </w:r>
      <w:r>
        <w:t>GACMO</w:t>
      </w:r>
      <w:r w:rsidR="00DB57B4">
        <w:t xml:space="preserve"> tool</w:t>
      </w:r>
      <w:r>
        <w:t xml:space="preserve"> are:</w:t>
      </w:r>
    </w:p>
    <w:p w14:paraId="202FC14C" w14:textId="26299F64" w:rsidR="001838B8" w:rsidRPr="00CF1C0B" w:rsidRDefault="00A731EB" w:rsidP="00CF1C0B">
      <w:pPr>
        <w:pStyle w:val="ListParagraph"/>
        <w:numPr>
          <w:ilvl w:val="0"/>
          <w:numId w:val="13"/>
        </w:numPr>
        <w:pBdr>
          <w:top w:val="nil"/>
          <w:left w:val="nil"/>
          <w:bottom w:val="nil"/>
          <w:right w:val="nil"/>
          <w:between w:val="nil"/>
        </w:pBdr>
        <w:spacing w:after="0"/>
        <w:rPr>
          <w:color w:val="000000"/>
        </w:rPr>
      </w:pPr>
      <w:r w:rsidRPr="00CF1C0B">
        <w:rPr>
          <w:color w:val="000000"/>
        </w:rPr>
        <w:t xml:space="preserve">Basic data about the country, such as </w:t>
      </w:r>
      <w:r w:rsidR="00160158" w:rsidRPr="00CF1C0B">
        <w:rPr>
          <w:color w:val="000000"/>
        </w:rPr>
        <w:t>population, GDP,</w:t>
      </w:r>
      <w:r w:rsidRPr="00CF1C0B">
        <w:rPr>
          <w:color w:val="000000"/>
        </w:rPr>
        <w:t xml:space="preserve"> discount </w:t>
      </w:r>
      <w:proofErr w:type="gramStart"/>
      <w:r w:rsidRPr="00CF1C0B">
        <w:rPr>
          <w:color w:val="000000"/>
        </w:rPr>
        <w:t>rate;</w:t>
      </w:r>
      <w:proofErr w:type="gramEnd"/>
    </w:p>
    <w:p w14:paraId="01B22D83" w14:textId="57467DB9" w:rsidR="004E4703" w:rsidRPr="00CF1C0B" w:rsidRDefault="00160158" w:rsidP="00CF1C0B">
      <w:pPr>
        <w:pStyle w:val="ListParagraph"/>
        <w:numPr>
          <w:ilvl w:val="0"/>
          <w:numId w:val="13"/>
        </w:numPr>
        <w:pBdr>
          <w:top w:val="nil"/>
          <w:left w:val="nil"/>
          <w:bottom w:val="nil"/>
          <w:right w:val="nil"/>
          <w:between w:val="nil"/>
        </w:pBdr>
        <w:spacing w:after="0"/>
        <w:rPr>
          <w:color w:val="000000"/>
          <w:lang w:val="en-US"/>
        </w:rPr>
      </w:pPr>
      <w:r w:rsidRPr="00CF1C0B">
        <w:rPr>
          <w:color w:val="000000"/>
        </w:rPr>
        <w:lastRenderedPageBreak/>
        <w:t>Key assumptions</w:t>
      </w:r>
      <w:r w:rsidR="004E4703" w:rsidRPr="00CF1C0B">
        <w:rPr>
          <w:b/>
          <w:bCs/>
          <w:color w:val="000000"/>
        </w:rPr>
        <w:t xml:space="preserve"> </w:t>
      </w:r>
      <w:r w:rsidR="004E4703" w:rsidRPr="00CF1C0B">
        <w:rPr>
          <w:color w:val="000000"/>
        </w:rPr>
        <w:t>(e.g.</w:t>
      </w:r>
      <w:r w:rsidR="00177DF8">
        <w:rPr>
          <w:color w:val="000000"/>
        </w:rPr>
        <w:t>,</w:t>
      </w:r>
      <w:r w:rsidR="004E4703" w:rsidRPr="00CF1C0B">
        <w:rPr>
          <w:color w:val="000000"/>
        </w:rPr>
        <w:t xml:space="preserve"> grid emission factor, energy prices,</w:t>
      </w:r>
      <w:r w:rsidRPr="00CF1C0B">
        <w:rPr>
          <w:color w:val="000000"/>
        </w:rPr>
        <w:t xml:space="preserve"> emission factors, calorific values of fuels,</w:t>
      </w:r>
      <w:r w:rsidR="004E4703" w:rsidRPr="00CF1C0B">
        <w:rPr>
          <w:color w:val="000000"/>
        </w:rPr>
        <w:t xml:space="preserve"> etc.</w:t>
      </w:r>
      <w:proofErr w:type="gramStart"/>
      <w:r w:rsidR="004E4703" w:rsidRPr="00CF1C0B">
        <w:rPr>
          <w:color w:val="000000"/>
        </w:rPr>
        <w:t>)</w:t>
      </w:r>
      <w:r w:rsidR="006F0716">
        <w:rPr>
          <w:color w:val="000000"/>
        </w:rPr>
        <w:t>;</w:t>
      </w:r>
      <w:proofErr w:type="gramEnd"/>
    </w:p>
    <w:p w14:paraId="202FC14E" w14:textId="3C5CA3F3" w:rsidR="001838B8" w:rsidRPr="00CF1C0B" w:rsidRDefault="00A731EB" w:rsidP="00CF1C0B">
      <w:pPr>
        <w:pStyle w:val="ListParagraph"/>
        <w:numPr>
          <w:ilvl w:val="0"/>
          <w:numId w:val="13"/>
        </w:numPr>
        <w:pBdr>
          <w:top w:val="nil"/>
          <w:left w:val="nil"/>
          <w:bottom w:val="nil"/>
          <w:right w:val="nil"/>
          <w:between w:val="nil"/>
        </w:pBdr>
        <w:spacing w:after="0"/>
        <w:rPr>
          <w:color w:val="000000"/>
        </w:rPr>
      </w:pPr>
      <w:r w:rsidRPr="00CF1C0B">
        <w:rPr>
          <w:color w:val="000000"/>
        </w:rPr>
        <w:t xml:space="preserve">Energy balance data in the start year, that is, the production/consumption data </w:t>
      </w:r>
      <w:r w:rsidR="00416DEE">
        <w:rPr>
          <w:color w:val="000000"/>
        </w:rPr>
        <w:t>on</w:t>
      </w:r>
      <w:r w:rsidR="00416DEE" w:rsidRPr="00CF1C0B">
        <w:rPr>
          <w:color w:val="000000"/>
        </w:rPr>
        <w:t xml:space="preserve"> </w:t>
      </w:r>
      <w:r w:rsidRPr="00CF1C0B">
        <w:rPr>
          <w:color w:val="000000"/>
        </w:rPr>
        <w:t xml:space="preserve">fossil fuels and electricity for a </w:t>
      </w:r>
      <w:proofErr w:type="gramStart"/>
      <w:r w:rsidRPr="00CF1C0B">
        <w:rPr>
          <w:color w:val="000000"/>
        </w:rPr>
        <w:t>country;</w:t>
      </w:r>
      <w:proofErr w:type="gramEnd"/>
    </w:p>
    <w:p w14:paraId="202FC14F" w14:textId="490A68AF" w:rsidR="001838B8" w:rsidRPr="006F0716" w:rsidRDefault="00A731EB" w:rsidP="006F0716">
      <w:pPr>
        <w:pStyle w:val="ListParagraph"/>
        <w:numPr>
          <w:ilvl w:val="0"/>
          <w:numId w:val="13"/>
        </w:numPr>
        <w:pBdr>
          <w:top w:val="nil"/>
          <w:left w:val="nil"/>
          <w:bottom w:val="nil"/>
          <w:right w:val="nil"/>
          <w:between w:val="nil"/>
        </w:pBdr>
        <w:spacing w:after="0"/>
        <w:rPr>
          <w:color w:val="000000"/>
        </w:rPr>
      </w:pPr>
      <w:r w:rsidRPr="006F0716">
        <w:rPr>
          <w:color w:val="000000"/>
        </w:rPr>
        <w:t xml:space="preserve">Data </w:t>
      </w:r>
      <w:r w:rsidR="00C10618">
        <w:rPr>
          <w:color w:val="000000"/>
        </w:rPr>
        <w:t>on</w:t>
      </w:r>
      <w:r w:rsidR="00C10618" w:rsidRPr="006F0716">
        <w:rPr>
          <w:color w:val="000000"/>
        </w:rPr>
        <w:t xml:space="preserve"> </w:t>
      </w:r>
      <w:r w:rsidRPr="006F0716">
        <w:rPr>
          <w:color w:val="000000"/>
        </w:rPr>
        <w:t>the GHG emissions for the key non-energy sectors in the start year: Agriculture, Forest</w:t>
      </w:r>
      <w:r w:rsidR="006E5253" w:rsidRPr="006F0716">
        <w:rPr>
          <w:color w:val="000000"/>
        </w:rPr>
        <w:t>ry</w:t>
      </w:r>
      <w:r w:rsidRPr="006F0716">
        <w:rPr>
          <w:color w:val="000000"/>
        </w:rPr>
        <w:t>, Waste</w:t>
      </w:r>
      <w:r w:rsidR="006E5253" w:rsidRPr="006F0716">
        <w:rPr>
          <w:color w:val="000000"/>
        </w:rPr>
        <w:t xml:space="preserve">, </w:t>
      </w:r>
      <w:r w:rsidRPr="006F0716">
        <w:rPr>
          <w:color w:val="000000"/>
        </w:rPr>
        <w:t>Industrial processes</w:t>
      </w:r>
      <w:r w:rsidR="006E5253" w:rsidRPr="006F0716">
        <w:rPr>
          <w:color w:val="000000"/>
        </w:rPr>
        <w:t xml:space="preserve"> and Fugitive </w:t>
      </w:r>
      <w:proofErr w:type="gramStart"/>
      <w:r w:rsidR="006E5253" w:rsidRPr="006F0716">
        <w:rPr>
          <w:color w:val="000000"/>
        </w:rPr>
        <w:t>emissions</w:t>
      </w:r>
      <w:r w:rsidRPr="006F0716">
        <w:rPr>
          <w:color w:val="000000"/>
        </w:rPr>
        <w:t>;</w:t>
      </w:r>
      <w:proofErr w:type="gramEnd"/>
    </w:p>
    <w:p w14:paraId="202FC150" w14:textId="77777777" w:rsidR="001838B8" w:rsidRPr="006F0716" w:rsidRDefault="00A731EB" w:rsidP="006F0716">
      <w:pPr>
        <w:pStyle w:val="ListParagraph"/>
        <w:numPr>
          <w:ilvl w:val="0"/>
          <w:numId w:val="13"/>
        </w:numPr>
        <w:pBdr>
          <w:top w:val="nil"/>
          <w:left w:val="nil"/>
          <w:bottom w:val="nil"/>
          <w:right w:val="nil"/>
          <w:between w:val="nil"/>
        </w:pBdr>
        <w:spacing w:after="0"/>
        <w:rPr>
          <w:color w:val="000000"/>
        </w:rPr>
      </w:pPr>
      <w:r w:rsidRPr="006F0716">
        <w:rPr>
          <w:color w:val="000000"/>
        </w:rPr>
        <w:t xml:space="preserve">Growth factors estimated over specific time periods for different sectors of </w:t>
      </w:r>
      <w:proofErr w:type="gramStart"/>
      <w:r w:rsidRPr="006F0716">
        <w:rPr>
          <w:color w:val="000000"/>
        </w:rPr>
        <w:t>activities;</w:t>
      </w:r>
      <w:proofErr w:type="gramEnd"/>
    </w:p>
    <w:p w14:paraId="343FFD2C" w14:textId="5A7C1B04" w:rsidR="007327DB" w:rsidRPr="006F0716" w:rsidRDefault="00A731EB" w:rsidP="006F0716">
      <w:pPr>
        <w:pStyle w:val="ListParagraph"/>
        <w:numPr>
          <w:ilvl w:val="0"/>
          <w:numId w:val="13"/>
        </w:numPr>
        <w:pBdr>
          <w:top w:val="nil"/>
          <w:left w:val="nil"/>
          <w:bottom w:val="nil"/>
          <w:right w:val="nil"/>
          <w:between w:val="nil"/>
        </w:pBdr>
        <w:spacing w:after="0" w:line="259" w:lineRule="auto"/>
        <w:jc w:val="both"/>
        <w:rPr>
          <w:color w:val="000000"/>
        </w:rPr>
      </w:pPr>
      <w:r w:rsidRPr="006F0716">
        <w:rPr>
          <w:color w:val="000000"/>
        </w:rPr>
        <w:t xml:space="preserve">The number of units of each mitigation option (selected by the user) penetrating toward the years 2025, 2030, 2035, </w:t>
      </w:r>
      <w:r w:rsidR="00811C44">
        <w:t xml:space="preserve">2040, 2045, </w:t>
      </w:r>
      <w:r w:rsidR="00EA183A" w:rsidRPr="006F0716">
        <w:rPr>
          <w:color w:val="000000"/>
        </w:rPr>
        <w:t>and/or</w:t>
      </w:r>
      <w:r w:rsidRPr="006F0716">
        <w:rPr>
          <w:color w:val="000000"/>
        </w:rPr>
        <w:t xml:space="preserve"> </w:t>
      </w:r>
      <w:proofErr w:type="gramStart"/>
      <w:r w:rsidRPr="006F0716">
        <w:rPr>
          <w:color w:val="000000"/>
        </w:rPr>
        <w:t>2050</w:t>
      </w:r>
      <w:r w:rsidR="00CF1C0B">
        <w:rPr>
          <w:color w:val="000000"/>
        </w:rPr>
        <w:t>;</w:t>
      </w:r>
      <w:proofErr w:type="gramEnd"/>
    </w:p>
    <w:p w14:paraId="6110EAA7" w14:textId="3CCD7D20" w:rsidR="007327DB" w:rsidRPr="006F0716" w:rsidRDefault="007327DB" w:rsidP="006F0716">
      <w:pPr>
        <w:pStyle w:val="ListParagraph"/>
        <w:numPr>
          <w:ilvl w:val="0"/>
          <w:numId w:val="13"/>
        </w:numPr>
        <w:pBdr>
          <w:top w:val="nil"/>
          <w:left w:val="nil"/>
          <w:bottom w:val="nil"/>
          <w:right w:val="nil"/>
          <w:between w:val="nil"/>
        </w:pBdr>
        <w:spacing w:after="0"/>
        <w:rPr>
          <w:color w:val="000000"/>
        </w:rPr>
      </w:pPr>
      <w:r w:rsidRPr="006F0716">
        <w:rPr>
          <w:color w:val="000000"/>
        </w:rPr>
        <w:t>Technical and economical parameters of the technology/mitigation options (</w:t>
      </w:r>
      <w:r w:rsidR="00196BB8" w:rsidRPr="006F0716">
        <w:rPr>
          <w:color w:val="000000"/>
        </w:rPr>
        <w:t>e.g.</w:t>
      </w:r>
      <w:r w:rsidR="00177DF8">
        <w:rPr>
          <w:color w:val="000000"/>
        </w:rPr>
        <w:t>,</w:t>
      </w:r>
      <w:r w:rsidR="00196BB8" w:rsidRPr="006F0716">
        <w:rPr>
          <w:color w:val="000000"/>
        </w:rPr>
        <w:t xml:space="preserve"> solar insolation,</w:t>
      </w:r>
      <w:r w:rsidR="003A2BC3" w:rsidRPr="006F0716">
        <w:rPr>
          <w:color w:val="000000"/>
        </w:rPr>
        <w:t xml:space="preserve"> annual distance for transport, number of </w:t>
      </w:r>
      <w:r w:rsidR="00FF2D5E" w:rsidRPr="006F0716">
        <w:rPr>
          <w:color w:val="000000"/>
        </w:rPr>
        <w:t>hours usage of lighting, etc.)</w:t>
      </w:r>
      <w:r w:rsidRPr="006F0716">
        <w:rPr>
          <w:color w:val="000000"/>
        </w:rPr>
        <w:t xml:space="preserve"> </w:t>
      </w:r>
    </w:p>
    <w:p w14:paraId="202FC151" w14:textId="2C2C22CE" w:rsidR="001838B8" w:rsidRDefault="00A731EB">
      <w:pPr>
        <w:numPr>
          <w:ilvl w:val="0"/>
          <w:numId w:val="4"/>
        </w:numPr>
        <w:pBdr>
          <w:top w:val="nil"/>
          <w:left w:val="nil"/>
          <w:bottom w:val="nil"/>
          <w:right w:val="nil"/>
          <w:between w:val="nil"/>
        </w:pBdr>
        <w:spacing w:after="160" w:line="259" w:lineRule="auto"/>
        <w:ind w:left="284" w:hanging="142"/>
        <w:jc w:val="both"/>
        <w:rPr>
          <w:color w:val="000000"/>
        </w:rPr>
      </w:pPr>
      <w:r>
        <w:br w:type="page"/>
      </w:r>
    </w:p>
    <w:p w14:paraId="202FC152" w14:textId="5859ABA6" w:rsidR="001838B8" w:rsidRDefault="00A731EB" w:rsidP="00F10795">
      <w:pPr>
        <w:pStyle w:val="Heading1"/>
        <w:spacing w:before="120" w:after="120"/>
        <w:rPr>
          <w:rFonts w:ascii="Calibri" w:eastAsia="Calibri" w:hAnsi="Calibri" w:cs="Calibri"/>
          <w:sz w:val="36"/>
          <w:szCs w:val="36"/>
        </w:rPr>
      </w:pPr>
      <w:bookmarkStart w:id="2" w:name="_Toc151557923"/>
      <w:r>
        <w:rPr>
          <w:rFonts w:ascii="Calibri" w:eastAsia="Calibri" w:hAnsi="Calibri" w:cs="Calibri"/>
          <w:sz w:val="36"/>
          <w:szCs w:val="36"/>
        </w:rPr>
        <w:lastRenderedPageBreak/>
        <w:t xml:space="preserve">What </w:t>
      </w:r>
      <w:r w:rsidR="00177DF8">
        <w:rPr>
          <w:rFonts w:ascii="Calibri" w:eastAsia="Calibri" w:hAnsi="Calibri" w:cs="Calibri"/>
          <w:sz w:val="36"/>
          <w:szCs w:val="36"/>
        </w:rPr>
        <w:t xml:space="preserve">is </w:t>
      </w:r>
      <w:r>
        <w:rPr>
          <w:rFonts w:ascii="Calibri" w:eastAsia="Calibri" w:hAnsi="Calibri" w:cs="Calibri"/>
          <w:sz w:val="36"/>
          <w:szCs w:val="36"/>
        </w:rPr>
        <w:t>GACMO used for and what are the main results?</w:t>
      </w:r>
      <w:bookmarkEnd w:id="2"/>
    </w:p>
    <w:p w14:paraId="202FC154" w14:textId="3870AD75" w:rsidR="001838B8" w:rsidRDefault="00DB57B4">
      <w:pPr>
        <w:spacing w:after="120"/>
        <w:jc w:val="both"/>
      </w:pPr>
      <w:r>
        <w:t xml:space="preserve">The </w:t>
      </w:r>
      <w:r w:rsidR="00A731EB">
        <w:t>GACMO</w:t>
      </w:r>
      <w:r>
        <w:t xml:space="preserve"> tool</w:t>
      </w:r>
      <w:r w:rsidR="00A731EB">
        <w:t xml:space="preserve"> is a "bottom-up" modelling tool. The </w:t>
      </w:r>
      <w:r w:rsidR="00FA2C3B">
        <w:t>GHG</w:t>
      </w:r>
      <w:r w:rsidR="00A731EB">
        <w:t xml:space="preserve"> emissions projections are based on mitigation options implemented on the ground (and not on macro data defined at </w:t>
      </w:r>
      <w:r w:rsidR="0013296E">
        <w:t xml:space="preserve">the </w:t>
      </w:r>
      <w:r w:rsidR="00A731EB">
        <w:t>country level such as macro-economic data).</w:t>
      </w:r>
    </w:p>
    <w:p w14:paraId="202FC155" w14:textId="355C290F" w:rsidR="001838B8" w:rsidRDefault="00A731EB">
      <w:pPr>
        <w:spacing w:after="120"/>
        <w:jc w:val="both"/>
      </w:pPr>
      <w:r>
        <w:t xml:space="preserve">Therefore, </w:t>
      </w:r>
      <w:r w:rsidR="00DB57B4">
        <w:t xml:space="preserve">the </w:t>
      </w:r>
      <w:r>
        <w:t>GACMO</w:t>
      </w:r>
      <w:r w:rsidR="00DB57B4">
        <w:t xml:space="preserve"> tool</w:t>
      </w:r>
      <w:r>
        <w:t xml:space="preserve"> is usually used to establish a </w:t>
      </w:r>
      <w:r w:rsidR="000C5E97" w:rsidRPr="009121BD">
        <w:t>business-as-usual</w:t>
      </w:r>
      <w:r w:rsidR="009121BD" w:rsidRPr="009121BD">
        <w:t xml:space="preserve"> </w:t>
      </w:r>
      <w:r w:rsidR="000C5E97">
        <w:t xml:space="preserve">(BAU) </w:t>
      </w:r>
      <w:r>
        <w:t>scenario and a mitigation scenario based on a set of mitigation options chosen by a country. These options can be</w:t>
      </w:r>
      <w:r w:rsidR="00DF7239">
        <w:t>,</w:t>
      </w:r>
      <w:r>
        <w:t xml:space="preserve"> for example</w:t>
      </w:r>
      <w:r w:rsidR="00DF7239">
        <w:t>,</w:t>
      </w:r>
      <w:r>
        <w:t xml:space="preserve"> the mitigation options chosen by a country to be taken into consideration in the NDC of the country or in a sectorial mitigation plan.</w:t>
      </w:r>
    </w:p>
    <w:p w14:paraId="202FC156" w14:textId="453609A6" w:rsidR="001838B8" w:rsidRDefault="00A731EB">
      <w:pPr>
        <w:spacing w:after="120"/>
        <w:jc w:val="both"/>
      </w:pPr>
      <w:r>
        <w:t xml:space="preserve">If a country has a mitigation goal that has been pre-defined, a user can also test different mitigation options included in </w:t>
      </w:r>
      <w:r w:rsidR="00E73275">
        <w:t>the tool</w:t>
      </w:r>
      <w:r>
        <w:t xml:space="preserve"> to determine how this mitigation goal could be achieved through different sets of mitigation options.</w:t>
      </w:r>
    </w:p>
    <w:p w14:paraId="202FC157" w14:textId="2B9FFF7D" w:rsidR="001838B8" w:rsidRDefault="00A731EB">
      <w:pPr>
        <w:spacing w:after="120"/>
        <w:jc w:val="both"/>
      </w:pPr>
      <w:r>
        <w:t xml:space="preserve">Finally, </w:t>
      </w:r>
      <w:r w:rsidR="00E73275">
        <w:t xml:space="preserve">the </w:t>
      </w:r>
      <w:r>
        <w:t xml:space="preserve">GACMO </w:t>
      </w:r>
      <w:r w:rsidR="00E73275">
        <w:t xml:space="preserve">tool </w:t>
      </w:r>
      <w:r>
        <w:t xml:space="preserve">can be used to estimate the individual </w:t>
      </w:r>
      <w:r w:rsidR="002A2ACB">
        <w:t>GHG</w:t>
      </w:r>
      <w:r>
        <w:t xml:space="preserve"> emission</w:t>
      </w:r>
      <w:r w:rsidR="006A5D9E">
        <w:t>s</w:t>
      </w:r>
      <w:r>
        <w:t xml:space="preserve"> reduction impact of a specific mitigation option considering different levels of implementation.</w:t>
      </w:r>
    </w:p>
    <w:p w14:paraId="202FC159" w14:textId="44CC753A" w:rsidR="001838B8" w:rsidRDefault="002B253B">
      <w:pPr>
        <w:jc w:val="both"/>
      </w:pPr>
      <w:r>
        <w:t xml:space="preserve">The </w:t>
      </w:r>
      <w:r w:rsidR="00A731EB">
        <w:t>GACMO</w:t>
      </w:r>
      <w:r>
        <w:t xml:space="preserve"> tool</w:t>
      </w:r>
      <w:r w:rsidR="00A731EB">
        <w:t xml:space="preserve"> is a </w:t>
      </w:r>
      <w:r w:rsidR="002A2ACB">
        <w:t>GHG</w:t>
      </w:r>
      <w:r w:rsidR="00435218" w:rsidRPr="00435218">
        <w:t xml:space="preserve"> emissions </w:t>
      </w:r>
      <w:r w:rsidR="005A0155">
        <w:t>accounting</w:t>
      </w:r>
      <w:r w:rsidR="00A731EB">
        <w:t xml:space="preserve"> tool that can be used at the national level (country level) or sub-national level (region or city level) to estimate the aggregated </w:t>
      </w:r>
      <w:r w:rsidR="002A2ACB">
        <w:t>GHG</w:t>
      </w:r>
      <w:r w:rsidR="00A731EB">
        <w:t xml:space="preserve"> emissions and develop the corresponding baseline scenario, as well as one (or more) mitigation scenarios based on specific mitigation options. Therefore, </w:t>
      </w:r>
      <w:r w:rsidR="00435218">
        <w:t xml:space="preserve">the </w:t>
      </w:r>
      <w:r w:rsidR="00A731EB">
        <w:t>GACMO</w:t>
      </w:r>
      <w:r w:rsidR="00435218">
        <w:t xml:space="preserve"> tool</w:t>
      </w:r>
      <w:r w:rsidR="00A731EB">
        <w:t xml:space="preserve"> can be used ex-ante (that is, before implementing mitigation options and before emissions occur). In this case, </w:t>
      </w:r>
      <w:r w:rsidR="005F6B9E">
        <w:t>it</w:t>
      </w:r>
      <w:r w:rsidR="00A731EB">
        <w:t xml:space="preserve"> allows "planning" and estimating the GHG emissions that will occur.</w:t>
      </w:r>
    </w:p>
    <w:p w14:paraId="2616AB5F" w14:textId="5DFAE83B" w:rsidR="00174238" w:rsidRDefault="009D2CA2">
      <w:pPr>
        <w:jc w:val="both"/>
      </w:pPr>
      <w:r>
        <w:t xml:space="preserve">The </w:t>
      </w:r>
      <w:r w:rsidR="00A731EB">
        <w:t>GACMO</w:t>
      </w:r>
      <w:r w:rsidR="00863726">
        <w:t xml:space="preserve"> tool</w:t>
      </w:r>
      <w:r w:rsidR="00A731EB">
        <w:t xml:space="preserve"> can also be used </w:t>
      </w:r>
      <w:r w:rsidR="00DD6D46">
        <w:t>ex-post</w:t>
      </w:r>
      <w:r w:rsidR="00A731EB">
        <w:t xml:space="preserve">, that is, after implementing mitigation options. In this case, the tool allows the country (region or city) to estimate </w:t>
      </w:r>
      <w:r w:rsidR="00140DC5">
        <w:t xml:space="preserve">and track </w:t>
      </w:r>
      <w:r w:rsidR="00A731EB">
        <w:t>the reductions in GHG emissions resulting from the implementation of its mitigation options.</w:t>
      </w:r>
      <w:r w:rsidR="00C865EA">
        <w:t xml:space="preserve"> In addition, </w:t>
      </w:r>
      <w:r w:rsidR="00DD3DEF">
        <w:t>t</w:t>
      </w:r>
      <w:r w:rsidR="00C865EA" w:rsidRPr="005A413F">
        <w:t xml:space="preserve">he results from the GACMO tool can be used as inputs for </w:t>
      </w:r>
      <w:r w:rsidR="00C865EA">
        <w:t>the</w:t>
      </w:r>
      <w:r w:rsidR="00C865EA" w:rsidRPr="005A413F">
        <w:t xml:space="preserve"> biennial transparency report (BTR)</w:t>
      </w:r>
      <w:r w:rsidR="00C865EA">
        <w:t>,</w:t>
      </w:r>
      <w:r w:rsidR="00C865EA" w:rsidRPr="005A413F">
        <w:t xml:space="preserve"> </w:t>
      </w:r>
      <w:proofErr w:type="gramStart"/>
      <w:r w:rsidR="00C865EA" w:rsidRPr="005A413F">
        <w:t>in particular for</w:t>
      </w:r>
      <w:proofErr w:type="gramEnd"/>
      <w:r w:rsidR="00C865EA" w:rsidRPr="005A413F">
        <w:t xml:space="preserve"> the Common tabular formats (CTF) for the electronic reporting of the </w:t>
      </w:r>
      <w:r w:rsidR="00C865EA">
        <w:t>“</w:t>
      </w:r>
      <w:r w:rsidR="00C865EA" w:rsidRPr="005A413F">
        <w:t>information necessary to track progress made in implementing and achieving nationally determined contributions under Article 4 of the Paris Agreement”.</w:t>
      </w:r>
      <w:r w:rsidR="00DD3DEF">
        <w:t xml:space="preserve"> For a more detailed explanation of how to use the results of the tool </w:t>
      </w:r>
      <w:r w:rsidR="00DF5352">
        <w:t>as inputs to the CTF tables, the user can refer to</w:t>
      </w:r>
      <w:r w:rsidR="005C6C25">
        <w:t xml:space="preserve"> the description of</w:t>
      </w:r>
      <w:r w:rsidR="00DF5352">
        <w:t xml:space="preserve"> </w:t>
      </w:r>
      <w:r w:rsidR="00DF5352" w:rsidRPr="00DF5352">
        <w:t xml:space="preserve">STEP 9 </w:t>
      </w:r>
      <w:r w:rsidR="00DF5352">
        <w:t>(</w:t>
      </w:r>
      <w:r w:rsidR="00DF5352" w:rsidRPr="00DF5352">
        <w:t>The Tracking progress sheet</w:t>
      </w:r>
      <w:r w:rsidR="00DF5352">
        <w:t xml:space="preserve">) </w:t>
      </w:r>
      <w:r w:rsidR="005F63EB">
        <w:t>in this guidance.</w:t>
      </w:r>
    </w:p>
    <w:p w14:paraId="202FC15E" w14:textId="3DA2D435" w:rsidR="001838B8" w:rsidRDefault="00A731EB">
      <w:pPr>
        <w:jc w:val="both"/>
      </w:pPr>
      <w:r>
        <w:t xml:space="preserve">In summary, the main results obtained from the use of </w:t>
      </w:r>
      <w:r w:rsidR="00DD6D46">
        <w:t xml:space="preserve">the </w:t>
      </w:r>
      <w:r>
        <w:t>GACMO</w:t>
      </w:r>
      <w:r w:rsidR="00DD6D46">
        <w:t xml:space="preserve"> tool</w:t>
      </w:r>
      <w:r>
        <w:t xml:space="preserve"> are:</w:t>
      </w:r>
    </w:p>
    <w:p w14:paraId="202FC15F" w14:textId="662550AD" w:rsidR="001838B8" w:rsidRDefault="00A731EB">
      <w:pPr>
        <w:numPr>
          <w:ilvl w:val="0"/>
          <w:numId w:val="2"/>
        </w:numPr>
        <w:spacing w:after="120"/>
        <w:ind w:left="714" w:hanging="357"/>
        <w:jc w:val="both"/>
      </w:pPr>
      <w:r>
        <w:t xml:space="preserve">The establishment of a GHG emissions </w:t>
      </w:r>
      <w:r w:rsidR="000C5E97">
        <w:t>BAU</w:t>
      </w:r>
      <w:r w:rsidR="00C64DD4">
        <w:t xml:space="preserve"> </w:t>
      </w:r>
      <w:r>
        <w:t>scenario (towards the years 2025, 2030, 2035</w:t>
      </w:r>
      <w:r w:rsidR="00637C5F">
        <w:t>,</w:t>
      </w:r>
      <w:r>
        <w:t xml:space="preserve"> </w:t>
      </w:r>
      <w:r w:rsidR="00811C44">
        <w:t xml:space="preserve">2040, 2045, </w:t>
      </w:r>
      <w:r>
        <w:t>and/or 2050</w:t>
      </w:r>
      <w:proofErr w:type="gramStart"/>
      <w:r>
        <w:t>);</w:t>
      </w:r>
      <w:proofErr w:type="gramEnd"/>
    </w:p>
    <w:p w14:paraId="202FC160" w14:textId="4094F016" w:rsidR="001838B8" w:rsidRDefault="00A731EB">
      <w:pPr>
        <w:numPr>
          <w:ilvl w:val="0"/>
          <w:numId w:val="2"/>
        </w:numPr>
        <w:spacing w:after="120"/>
        <w:ind w:left="714" w:hanging="357"/>
        <w:jc w:val="both"/>
      </w:pPr>
      <w:r>
        <w:t>The establishment of a GHG emissions mitigation scenario (towards the years 2025, 2030, 2035</w:t>
      </w:r>
      <w:r w:rsidR="00637C5F">
        <w:t>,</w:t>
      </w:r>
      <w:r>
        <w:t xml:space="preserve"> </w:t>
      </w:r>
      <w:r w:rsidR="00811C44">
        <w:t xml:space="preserve">2040, 2045, </w:t>
      </w:r>
      <w:r>
        <w:t>and/or 2050</w:t>
      </w:r>
      <w:proofErr w:type="gramStart"/>
      <w:r>
        <w:t>);</w:t>
      </w:r>
      <w:proofErr w:type="gramEnd"/>
    </w:p>
    <w:p w14:paraId="202FC161" w14:textId="06413390" w:rsidR="001838B8" w:rsidRDefault="00A731EB">
      <w:pPr>
        <w:numPr>
          <w:ilvl w:val="0"/>
          <w:numId w:val="2"/>
        </w:numPr>
        <w:spacing w:after="120"/>
        <w:ind w:left="714" w:hanging="357"/>
        <w:jc w:val="both"/>
      </w:pPr>
      <w:r>
        <w:t xml:space="preserve">The estimation of the </w:t>
      </w:r>
      <w:r w:rsidR="00A81A58">
        <w:t xml:space="preserve">expected </w:t>
      </w:r>
      <w:r>
        <w:t xml:space="preserve">(in the case of ex-ante) or </w:t>
      </w:r>
      <w:r w:rsidR="00A81A58">
        <w:t>achieved</w:t>
      </w:r>
      <w:r>
        <w:t xml:space="preserve"> (in the case of ex-post) GHG emission reduction associated with each mitigation option chosen by the </w:t>
      </w:r>
      <w:proofErr w:type="gramStart"/>
      <w:r>
        <w:t>user;</w:t>
      </w:r>
      <w:proofErr w:type="gramEnd"/>
    </w:p>
    <w:p w14:paraId="6DB94E18" w14:textId="3BEEC9FC" w:rsidR="003422E1" w:rsidRDefault="00D60A43" w:rsidP="00363DE6">
      <w:pPr>
        <w:numPr>
          <w:ilvl w:val="0"/>
          <w:numId w:val="2"/>
        </w:numPr>
        <w:spacing w:after="120"/>
        <w:ind w:left="714" w:hanging="357"/>
        <w:jc w:val="both"/>
      </w:pPr>
      <w:r>
        <w:rPr>
          <w:noProof/>
        </w:rPr>
        <w:lastRenderedPageBreak/>
        <mc:AlternateContent>
          <mc:Choice Requires="wps">
            <w:drawing>
              <wp:anchor distT="71755" distB="71755" distL="215900" distR="215900" simplePos="0" relativeHeight="251662848" behindDoc="0" locked="0" layoutInCell="1" allowOverlap="1" wp14:anchorId="264FA451" wp14:editId="27F34D72">
                <wp:simplePos x="0" y="0"/>
                <wp:positionH relativeFrom="margin">
                  <wp:align>center</wp:align>
                </wp:positionH>
                <wp:positionV relativeFrom="page">
                  <wp:posOffset>2507615</wp:posOffset>
                </wp:positionV>
                <wp:extent cx="4997450" cy="1485900"/>
                <wp:effectExtent l="0" t="0" r="0" b="0"/>
                <wp:wrapSquare wrapText="bothSides"/>
                <wp:docPr id="186148638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7450" cy="1485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E55BD1" w14:textId="016ED70A" w:rsidR="00D51D43" w:rsidRPr="00F27420" w:rsidRDefault="00D51D43" w:rsidP="00D51D43">
                            <w:pPr>
                              <w:spacing w:line="275" w:lineRule="auto"/>
                              <w:jc w:val="center"/>
                              <w:textDirection w:val="btLr"/>
                              <w:rPr>
                                <w:sz w:val="20"/>
                                <w:szCs w:val="20"/>
                              </w:rPr>
                            </w:pPr>
                            <w:r w:rsidRPr="00F27420">
                              <w:rPr>
                                <w:b/>
                                <w:color w:val="000000"/>
                                <w:sz w:val="20"/>
                                <w:szCs w:val="20"/>
                              </w:rPr>
                              <w:t>U</w:t>
                            </w:r>
                            <w:r w:rsidR="00A54E3E">
                              <w:rPr>
                                <w:b/>
                                <w:color w:val="000000"/>
                                <w:sz w:val="20"/>
                                <w:szCs w:val="20"/>
                              </w:rPr>
                              <w:t>se of</w:t>
                            </w:r>
                            <w:r w:rsidRPr="00F27420">
                              <w:rPr>
                                <w:b/>
                                <w:color w:val="000000"/>
                                <w:sz w:val="20"/>
                                <w:szCs w:val="20"/>
                              </w:rPr>
                              <w:t xml:space="preserve"> the GACMO tool </w:t>
                            </w:r>
                            <w:r w:rsidR="00A54E3E">
                              <w:rPr>
                                <w:b/>
                                <w:color w:val="000000"/>
                                <w:sz w:val="20"/>
                                <w:szCs w:val="20"/>
                              </w:rPr>
                              <w:t>in</w:t>
                            </w:r>
                            <w:r w:rsidRPr="00F27420">
                              <w:rPr>
                                <w:b/>
                                <w:color w:val="000000"/>
                                <w:sz w:val="20"/>
                                <w:szCs w:val="20"/>
                              </w:rPr>
                              <w:t xml:space="preserve"> G</w:t>
                            </w:r>
                            <w:r w:rsidR="00A54E3E">
                              <w:rPr>
                                <w:b/>
                                <w:color w:val="000000"/>
                                <w:sz w:val="20"/>
                                <w:szCs w:val="20"/>
                              </w:rPr>
                              <w:t>hana</w:t>
                            </w:r>
                          </w:p>
                          <w:p w14:paraId="470028A2" w14:textId="77777777" w:rsidR="00D51D43" w:rsidRPr="00F27420" w:rsidRDefault="00D51D43" w:rsidP="00D51D43">
                            <w:pPr>
                              <w:spacing w:line="275" w:lineRule="auto"/>
                              <w:jc w:val="both"/>
                              <w:textDirection w:val="btLr"/>
                              <w:rPr>
                                <w:sz w:val="20"/>
                                <w:szCs w:val="20"/>
                              </w:rPr>
                            </w:pPr>
                            <w:r w:rsidRPr="00F27420">
                              <w:rPr>
                                <w:color w:val="000000"/>
                                <w:sz w:val="20"/>
                                <w:szCs w:val="20"/>
                              </w:rPr>
                              <w:t>Between 2017 and 2018, Ghana used the GACMO tool to identify new mitigation opportunities in different sectors. Based on 27 new mitigation options, the country has used the tool to update the baseline scenario and the mitigation scenario of its NDC. The implementation of the 27 mitigation options would allow Ghana to reduce its emissions by 53% in 2030 compared to the baseline scenario. By doing this, they would have saved $622 million a year.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4FA451" id="Rectangle 1" o:spid="_x0000_s1026" style="position:absolute;left:0;text-align:left;margin-left:0;margin-top:197.45pt;width:393.5pt;height:117pt;z-index:251662848;visibility:visible;mso-wrap-style:square;mso-width-percent:0;mso-height-percent:0;mso-wrap-distance-left:17pt;mso-wrap-distance-top:5.65pt;mso-wrap-distance-right:17pt;mso-wrap-distance-bottom:5.65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">
                <v:stroke startarrowwidth="narrow" startarrowlength="short" endarrowwidth="narrow" endarrowlength="short"/>
                <v:path arrowok="t"/>
                <v:textbox inset="2.53958mm,1.2694mm,2.53958mm,1.2694mm">
                  <w:txbxContent>
                    <w:p w14:paraId="31E55BD1" w14:textId="016ED70A" w:rsidR="00D51D43" w:rsidRPr="00F27420" w:rsidRDefault="00D51D43" w:rsidP="00D51D43">
                      <w:pPr>
                        <w:spacing w:line="275" w:lineRule="auto"/>
                        <w:jc w:val="center"/>
                        <w:textDirection w:val="btLr"/>
                        <w:rPr>
                          <w:sz w:val="20"/>
                          <w:szCs w:val="20"/>
                        </w:rPr>
                      </w:pPr>
                      <w:r w:rsidRPr="00F27420">
                        <w:rPr>
                          <w:b/>
                          <w:color w:val="000000"/>
                          <w:sz w:val="20"/>
                          <w:szCs w:val="20"/>
                        </w:rPr>
                        <w:t>U</w:t>
                      </w:r>
                      <w:r w:rsidR="00A54E3E">
                        <w:rPr>
                          <w:b/>
                          <w:color w:val="000000"/>
                          <w:sz w:val="20"/>
                          <w:szCs w:val="20"/>
                        </w:rPr>
                        <w:t>se of</w:t>
                      </w:r>
                      <w:r w:rsidRPr="00F27420">
                        <w:rPr>
                          <w:b/>
                          <w:color w:val="000000"/>
                          <w:sz w:val="20"/>
                          <w:szCs w:val="20"/>
                        </w:rPr>
                        <w:t xml:space="preserve"> the GACMO tool </w:t>
                      </w:r>
                      <w:r w:rsidR="00A54E3E">
                        <w:rPr>
                          <w:b/>
                          <w:color w:val="000000"/>
                          <w:sz w:val="20"/>
                          <w:szCs w:val="20"/>
                        </w:rPr>
                        <w:t>in</w:t>
                      </w:r>
                      <w:r w:rsidRPr="00F27420">
                        <w:rPr>
                          <w:b/>
                          <w:color w:val="000000"/>
                          <w:sz w:val="20"/>
                          <w:szCs w:val="20"/>
                        </w:rPr>
                        <w:t xml:space="preserve"> G</w:t>
                      </w:r>
                      <w:r w:rsidR="00A54E3E">
                        <w:rPr>
                          <w:b/>
                          <w:color w:val="000000"/>
                          <w:sz w:val="20"/>
                          <w:szCs w:val="20"/>
                        </w:rPr>
                        <w:t>hana</w:t>
                      </w:r>
                    </w:p>
                    <w:p w14:paraId="470028A2" w14:textId="77777777" w:rsidR="00D51D43" w:rsidRPr="00F27420" w:rsidRDefault="00D51D43" w:rsidP="00D51D43">
                      <w:pPr>
                        <w:spacing w:line="275" w:lineRule="auto"/>
                        <w:jc w:val="both"/>
                        <w:textDirection w:val="btLr"/>
                        <w:rPr>
                          <w:sz w:val="20"/>
                          <w:szCs w:val="20"/>
                        </w:rPr>
                      </w:pPr>
                      <w:r w:rsidRPr="00F27420">
                        <w:rPr>
                          <w:color w:val="000000"/>
                          <w:sz w:val="20"/>
                          <w:szCs w:val="20"/>
                        </w:rPr>
                        <w:t>Between 2017 and 2018, Ghana used the GACMO tool to identify new mitigation opportunities in different sectors. Based on 27 new mitigation options, the country has used the tool to update the baseline scenario and the mitigation scenario of its NDC. The implementation of the 27 mitigation options would allow Ghana to reduce its emissions by 53% in 2030 compared to the baseline scenario. By doing this, they would have saved $622 million a year.</w:t>
                      </w:r>
                    </w:p>
                  </w:txbxContent>
                </v:textbox>
                <w10:wrap type="square" anchorx="margin" anchory="page"/>
              </v:rect>
            </w:pict>
          </mc:Fallback>
        </mc:AlternateContent>
      </w:r>
      <w:r w:rsidR="00A731EB">
        <w:t xml:space="preserve">The establishment of a "marginal abatement revenue curve" (graph) that compares, among all selected options, the </w:t>
      </w:r>
      <w:r w:rsidR="005D05E1">
        <w:t>abatement</w:t>
      </w:r>
      <w:r w:rsidR="00A731EB">
        <w:t xml:space="preserve"> cost</w:t>
      </w:r>
      <w:r w:rsidR="00F76F41">
        <w:t>/revenue</w:t>
      </w:r>
      <w:r w:rsidR="00A731EB">
        <w:t xml:space="preserve"> for an</w:t>
      </w:r>
      <w:r w:rsidR="003F602B">
        <w:t xml:space="preserve"> </w:t>
      </w:r>
      <w:r w:rsidR="00A731EB">
        <w:t>option to reduce one unit of CO</w:t>
      </w:r>
      <w:r w:rsidR="00A731EB">
        <w:rPr>
          <w:vertAlign w:val="subscript"/>
        </w:rPr>
        <w:t>2</w:t>
      </w:r>
      <w:r w:rsidR="00A731EB">
        <w:t xml:space="preserve"> emissions, with the total potential of emission</w:t>
      </w:r>
      <w:r w:rsidR="00FE406E">
        <w:t>s</w:t>
      </w:r>
      <w:r w:rsidR="00A731EB">
        <w:t xml:space="preserve"> reduction of this option.</w:t>
      </w:r>
    </w:p>
    <w:p w14:paraId="7114241C" w14:textId="2D524A93" w:rsidR="00363DE6" w:rsidRDefault="00363DE6" w:rsidP="003422E1">
      <w:pPr>
        <w:jc w:val="both"/>
      </w:pPr>
    </w:p>
    <w:p w14:paraId="29306F8B" w14:textId="5055F367" w:rsidR="003074D7" w:rsidRPr="003422E1" w:rsidRDefault="00EA276E" w:rsidP="003422E1">
      <w:pPr>
        <w:jc w:val="both"/>
      </w:pPr>
      <w:r w:rsidRPr="003074D7">
        <w:t xml:space="preserve">In addition to </w:t>
      </w:r>
      <w:r w:rsidR="00D130B4" w:rsidRPr="003074D7">
        <w:t xml:space="preserve">the </w:t>
      </w:r>
      <w:r w:rsidRPr="003074D7">
        <w:t>GACMO</w:t>
      </w:r>
      <w:r w:rsidR="00D130B4" w:rsidRPr="003074D7">
        <w:t xml:space="preserve"> tool</w:t>
      </w:r>
      <w:r w:rsidRPr="003074D7">
        <w:t>, there are</w:t>
      </w:r>
      <w:r w:rsidR="00D130B4" w:rsidRPr="003074D7">
        <w:t xml:space="preserve"> </w:t>
      </w:r>
      <w:proofErr w:type="gramStart"/>
      <w:r w:rsidR="00D130B4" w:rsidRPr="003074D7">
        <w:t>a</w:t>
      </w:r>
      <w:r w:rsidRPr="003074D7">
        <w:t xml:space="preserve"> large number of</w:t>
      </w:r>
      <w:proofErr w:type="gramEnd"/>
      <w:r w:rsidRPr="003074D7">
        <w:t xml:space="preserve"> models that can be used </w:t>
      </w:r>
      <w:r w:rsidR="00D130B4" w:rsidRPr="003074D7">
        <w:t>for</w:t>
      </w:r>
      <w:r w:rsidRPr="003074D7">
        <w:t xml:space="preserve"> developing projections of </w:t>
      </w:r>
      <w:r w:rsidR="00572259" w:rsidRPr="003074D7">
        <w:t xml:space="preserve">GHG </w:t>
      </w:r>
      <w:r w:rsidRPr="003074D7">
        <w:t xml:space="preserve">emissions and </w:t>
      </w:r>
      <w:proofErr w:type="spellStart"/>
      <w:r w:rsidRPr="003074D7">
        <w:t>analyzing</w:t>
      </w:r>
      <w:proofErr w:type="spellEnd"/>
      <w:r w:rsidRPr="003074D7">
        <w:t xml:space="preserve"> the impact of mitigation measures (e.g.</w:t>
      </w:r>
      <w:r w:rsidR="006769BC">
        <w:t>,</w:t>
      </w:r>
      <w:r w:rsidRPr="003074D7">
        <w:t xml:space="preserve"> LEAP, TIMES, Prospects, etc.). </w:t>
      </w:r>
      <w:r w:rsidR="009476D6" w:rsidRPr="003074D7">
        <w:t>Each m</w:t>
      </w:r>
      <w:r w:rsidRPr="003074D7">
        <w:t xml:space="preserve">odel can answer different research questions and provide numerical (quantitative) </w:t>
      </w:r>
      <w:r w:rsidR="00A826D1" w:rsidRPr="003074D7">
        <w:t>assess</w:t>
      </w:r>
      <w:r w:rsidR="005579F4" w:rsidRPr="003074D7">
        <w:t>ments</w:t>
      </w:r>
      <w:r w:rsidRPr="003074D7">
        <w:t xml:space="preserve"> of the baseline emissions and </w:t>
      </w:r>
      <w:r w:rsidR="00F66478" w:rsidRPr="003074D7">
        <w:t xml:space="preserve">of </w:t>
      </w:r>
      <w:r w:rsidRPr="003074D7">
        <w:t xml:space="preserve">the impact of mitigation measures on emissions. However, their use may be limited by the high </w:t>
      </w:r>
      <w:r w:rsidR="00BA17F5" w:rsidRPr="003074D7">
        <w:t>requirement</w:t>
      </w:r>
      <w:r w:rsidR="00BA17F5">
        <w:t xml:space="preserve"> for</w:t>
      </w:r>
      <w:r w:rsidR="00BA17F5" w:rsidRPr="003074D7">
        <w:t xml:space="preserve"> </w:t>
      </w:r>
      <w:r w:rsidRPr="003074D7">
        <w:t>data and</w:t>
      </w:r>
      <w:r w:rsidR="00BA17F5">
        <w:t xml:space="preserve"> the</w:t>
      </w:r>
      <w:r w:rsidRPr="003074D7">
        <w:t xml:space="preserve"> license costs to carry out the assessments. </w:t>
      </w:r>
      <w:r w:rsidR="005579F4" w:rsidRPr="003074D7">
        <w:t>In addition, s</w:t>
      </w:r>
      <w:r w:rsidRPr="003074D7">
        <w:t xml:space="preserve">ome models require high </w:t>
      </w:r>
      <w:r w:rsidR="00F773A4">
        <w:t xml:space="preserve">levels of </w:t>
      </w:r>
      <w:r w:rsidRPr="003074D7">
        <w:t xml:space="preserve">expertise </w:t>
      </w:r>
      <w:r w:rsidR="00F773A4">
        <w:t>to use the</w:t>
      </w:r>
      <w:r w:rsidRPr="003074D7">
        <w:t xml:space="preserve"> software, which </w:t>
      </w:r>
      <w:r w:rsidR="005579F4" w:rsidRPr="003074D7">
        <w:t xml:space="preserve">might </w:t>
      </w:r>
      <w:r w:rsidRPr="003074D7">
        <w:t xml:space="preserve">not </w:t>
      </w:r>
      <w:r w:rsidR="005579F4" w:rsidRPr="003074D7">
        <w:t xml:space="preserve">be </w:t>
      </w:r>
      <w:r w:rsidR="00D0693C" w:rsidRPr="003074D7">
        <w:t>available in some countries and might take time to build</w:t>
      </w:r>
      <w:r w:rsidRPr="003074D7">
        <w:t>.</w:t>
      </w:r>
    </w:p>
    <w:p w14:paraId="0D58DA49" w14:textId="00DB29F4" w:rsidR="009D476E" w:rsidRPr="00BA17F5" w:rsidRDefault="00D0693C" w:rsidP="003422E1">
      <w:pPr>
        <w:jc w:val="both"/>
      </w:pPr>
      <w:r w:rsidRPr="00BA17F5">
        <w:t>Among all the other models</w:t>
      </w:r>
      <w:r w:rsidR="00E177C4" w:rsidRPr="00BA17F5">
        <w:t xml:space="preserve"> available</w:t>
      </w:r>
      <w:r w:rsidRPr="00BA17F5">
        <w:t xml:space="preserve">, LEAP is probably </w:t>
      </w:r>
      <w:r w:rsidR="00E177C4" w:rsidRPr="00BA17F5">
        <w:t xml:space="preserve">the model which shows </w:t>
      </w:r>
      <w:r w:rsidR="00717127">
        <w:t xml:space="preserve">the </w:t>
      </w:r>
      <w:r w:rsidR="00C3606E" w:rsidRPr="00BA17F5">
        <w:t>most</w:t>
      </w:r>
      <w:r w:rsidR="00717127">
        <w:t xml:space="preserve"> similarities to</w:t>
      </w:r>
      <w:r w:rsidR="00C3606E" w:rsidRPr="00BA17F5">
        <w:t xml:space="preserve"> the GACMO tool. Therefore, it is interesting to </w:t>
      </w:r>
      <w:r w:rsidR="00723DE7">
        <w:t>discuss</w:t>
      </w:r>
      <w:r w:rsidR="007C6A69" w:rsidRPr="00BA17F5">
        <w:t xml:space="preserve"> </w:t>
      </w:r>
      <w:r w:rsidR="00C3606E" w:rsidRPr="00BA17F5">
        <w:t xml:space="preserve">the </w:t>
      </w:r>
      <w:r w:rsidR="007C6A69" w:rsidRPr="00BA17F5">
        <w:t>a</w:t>
      </w:r>
      <w:r w:rsidR="009D4574" w:rsidRPr="00BA17F5">
        <w:t>dvantages</w:t>
      </w:r>
      <w:r w:rsidR="00C3606E" w:rsidRPr="00BA17F5">
        <w:t xml:space="preserve"> and </w:t>
      </w:r>
      <w:r w:rsidR="009D4574" w:rsidRPr="00BA17F5">
        <w:t>disadvantages of</w:t>
      </w:r>
      <w:r w:rsidR="00EA276E" w:rsidRPr="00BA17F5">
        <w:t xml:space="preserve"> </w:t>
      </w:r>
      <w:r w:rsidR="00571065" w:rsidRPr="00BA17F5">
        <w:t xml:space="preserve">GACMO </w:t>
      </w:r>
      <w:r w:rsidR="00571065">
        <w:t xml:space="preserve">versus </w:t>
      </w:r>
      <w:r w:rsidR="00EA276E" w:rsidRPr="00BA17F5">
        <w:t>LEAP</w:t>
      </w:r>
      <w:r w:rsidR="00C3606E" w:rsidRPr="00BA17F5">
        <w:t xml:space="preserve">, and how they </w:t>
      </w:r>
      <w:r w:rsidR="006C54DB">
        <w:t xml:space="preserve">can </w:t>
      </w:r>
      <w:r w:rsidR="003074D7" w:rsidRPr="00BA17F5">
        <w:t>eventually complement each other</w:t>
      </w:r>
      <w:r w:rsidR="009D4574" w:rsidRPr="00BA17F5">
        <w:t xml:space="preserve">: </w:t>
      </w:r>
    </w:p>
    <w:p w14:paraId="104D97A8" w14:textId="5D56E8D0" w:rsidR="009D476E" w:rsidRPr="009007BC" w:rsidRDefault="00EA276E" w:rsidP="00F10795">
      <w:pPr>
        <w:pStyle w:val="ListParagraph"/>
        <w:numPr>
          <w:ilvl w:val="0"/>
          <w:numId w:val="12"/>
        </w:numPr>
        <w:jc w:val="both"/>
      </w:pPr>
      <w:r w:rsidRPr="009007BC">
        <w:t>GACMO model</w:t>
      </w:r>
      <w:r w:rsidR="00893C1D">
        <w:t>ling</w:t>
      </w:r>
      <w:r w:rsidRPr="009007BC">
        <w:t xml:space="preserve"> is based on the methodology of trend/regression analysis, while LEAP model</w:t>
      </w:r>
      <w:r w:rsidR="00893C1D">
        <w:t>ling</w:t>
      </w:r>
      <w:r w:rsidRPr="009007BC">
        <w:t xml:space="preserve"> is </w:t>
      </w:r>
      <w:r w:rsidR="00145553">
        <w:t xml:space="preserve">based on </w:t>
      </w:r>
      <w:r w:rsidR="009007BC" w:rsidRPr="009007BC">
        <w:t xml:space="preserve">an </w:t>
      </w:r>
      <w:r w:rsidRPr="009007BC">
        <w:t xml:space="preserve">accounting framework model. </w:t>
      </w:r>
    </w:p>
    <w:p w14:paraId="02EBC5B6" w14:textId="78A4ED66" w:rsidR="009D476E" w:rsidRPr="00B034ED" w:rsidRDefault="00D7413C" w:rsidP="00F10795">
      <w:pPr>
        <w:pStyle w:val="ListParagraph"/>
        <w:numPr>
          <w:ilvl w:val="0"/>
          <w:numId w:val="12"/>
        </w:numPr>
        <w:jc w:val="both"/>
      </w:pPr>
      <w:r w:rsidRPr="00B034ED">
        <w:t>T</w:t>
      </w:r>
      <w:r w:rsidR="00EA276E" w:rsidRPr="00B034ED">
        <w:t xml:space="preserve">he GACMO tool is relatively simple </w:t>
      </w:r>
      <w:r w:rsidR="009007BC" w:rsidRPr="00B034ED">
        <w:t xml:space="preserve">and </w:t>
      </w:r>
      <w:r w:rsidR="00EA276E" w:rsidRPr="00B034ED">
        <w:t>quick</w:t>
      </w:r>
      <w:r w:rsidRPr="00B034ED">
        <w:t>er</w:t>
      </w:r>
      <w:r w:rsidR="00EA276E" w:rsidRPr="00B034ED">
        <w:t xml:space="preserve"> to develop with low initial input data requirements</w:t>
      </w:r>
      <w:r w:rsidRPr="00B034ED">
        <w:t xml:space="preserve"> compared to LEAP</w:t>
      </w:r>
      <w:r w:rsidR="00EA276E" w:rsidRPr="00B034ED">
        <w:t xml:space="preserve">. However, </w:t>
      </w:r>
      <w:r w:rsidRPr="00B034ED">
        <w:t>a</w:t>
      </w:r>
      <w:r w:rsidR="00EA276E" w:rsidRPr="00B034ED">
        <w:t xml:space="preserve"> disadvantage is </w:t>
      </w:r>
      <w:r w:rsidRPr="00B034ED">
        <w:t xml:space="preserve">its </w:t>
      </w:r>
      <w:r w:rsidR="00EA276E" w:rsidRPr="00B034ED">
        <w:t xml:space="preserve">reliance on strong (sometimes </w:t>
      </w:r>
      <w:r w:rsidR="007D4211">
        <w:t>oversimplified</w:t>
      </w:r>
      <w:r w:rsidR="00EA276E" w:rsidRPr="00B034ED">
        <w:t xml:space="preserve">) assumptions, </w:t>
      </w:r>
      <w:r w:rsidRPr="00B034ED">
        <w:t xml:space="preserve">its </w:t>
      </w:r>
      <w:r w:rsidR="00FE321E">
        <w:t xml:space="preserve">greater </w:t>
      </w:r>
      <w:r w:rsidR="00EA276E" w:rsidRPr="00B034ED">
        <w:t xml:space="preserve">reliance on </w:t>
      </w:r>
      <w:r w:rsidR="00B034ED">
        <w:t xml:space="preserve">the </w:t>
      </w:r>
      <w:r w:rsidR="00EA276E" w:rsidRPr="00B034ED">
        <w:t>quality of input</w:t>
      </w:r>
      <w:r w:rsidR="00B034ED" w:rsidRPr="00B034ED">
        <w:t>s</w:t>
      </w:r>
      <w:r w:rsidR="00EA276E" w:rsidRPr="00B034ED">
        <w:t xml:space="preserve">, </w:t>
      </w:r>
      <w:r w:rsidR="00B034ED" w:rsidRPr="00B034ED">
        <w:t xml:space="preserve">and its </w:t>
      </w:r>
      <w:r w:rsidR="00EA276E" w:rsidRPr="00B034ED">
        <w:t xml:space="preserve">lack of accounting for sectoral interactions. </w:t>
      </w:r>
    </w:p>
    <w:p w14:paraId="08988A0B" w14:textId="53D273B4" w:rsidR="007E17B9" w:rsidRPr="00B17C89" w:rsidRDefault="00EA276E" w:rsidP="00F10795">
      <w:pPr>
        <w:pStyle w:val="ListParagraph"/>
        <w:numPr>
          <w:ilvl w:val="0"/>
          <w:numId w:val="12"/>
        </w:numPr>
        <w:jc w:val="both"/>
      </w:pPr>
      <w:r w:rsidRPr="00B17C89">
        <w:t>The advantage of the LEAP model is its accounting for sectoral linkages, high temporal granularity, extensive user support, multi-scenario analysis, flexibility in its structure</w:t>
      </w:r>
      <w:r w:rsidR="003D71BB">
        <w:t>,</w:t>
      </w:r>
      <w:r w:rsidRPr="00B17C89">
        <w:t xml:space="preserve"> etc. The disadvantage of the LEAP model is </w:t>
      </w:r>
      <w:r w:rsidR="00B42B91" w:rsidRPr="00B17C89">
        <w:t xml:space="preserve">its </w:t>
      </w:r>
      <w:r w:rsidRPr="00B17C89">
        <w:t xml:space="preserve">relatively high </w:t>
      </w:r>
      <w:r w:rsidR="003D71BB">
        <w:t xml:space="preserve">level of </w:t>
      </w:r>
      <w:r w:rsidRPr="00B17C89">
        <w:t>expertise requirement, higher input data requirements</w:t>
      </w:r>
      <w:r w:rsidR="004932AC">
        <w:t>,</w:t>
      </w:r>
      <w:r w:rsidRPr="00B17C89">
        <w:t xml:space="preserve"> and </w:t>
      </w:r>
      <w:r w:rsidR="00F03A69">
        <w:t>the greater amount of</w:t>
      </w:r>
      <w:r w:rsidRPr="00B17C89">
        <w:t xml:space="preserve"> time needed to develop the model. </w:t>
      </w:r>
    </w:p>
    <w:p w14:paraId="0A5F5152" w14:textId="6E11C444" w:rsidR="009D476E" w:rsidRPr="00B17C89" w:rsidRDefault="00EA276E" w:rsidP="00F10795">
      <w:pPr>
        <w:pStyle w:val="ListParagraph"/>
        <w:numPr>
          <w:ilvl w:val="0"/>
          <w:numId w:val="12"/>
        </w:numPr>
        <w:jc w:val="both"/>
      </w:pPr>
      <w:r w:rsidRPr="00B17C89">
        <w:t xml:space="preserve">While GACMO is </w:t>
      </w:r>
      <w:r w:rsidR="0012682D" w:rsidRPr="00B17C89">
        <w:t>a free and open-source</w:t>
      </w:r>
      <w:r w:rsidRPr="00B17C89">
        <w:t xml:space="preserve"> </w:t>
      </w:r>
      <w:r w:rsidR="0012682D" w:rsidRPr="00B17C89">
        <w:t>Excel-based</w:t>
      </w:r>
      <w:r w:rsidRPr="00B17C89">
        <w:t xml:space="preserve"> model, LEAP requires software and </w:t>
      </w:r>
      <w:r w:rsidR="00CB7CA5" w:rsidRPr="00B17C89">
        <w:t xml:space="preserve">a </w:t>
      </w:r>
      <w:r w:rsidRPr="00B17C89">
        <w:t xml:space="preserve">license </w:t>
      </w:r>
      <w:r w:rsidR="0012682D" w:rsidRPr="00B17C89">
        <w:t>(</w:t>
      </w:r>
      <w:r w:rsidRPr="00B17C89">
        <w:t>provided for free to low-income and lower-middle-income countries</w:t>
      </w:r>
      <w:r w:rsidR="0012682D" w:rsidRPr="00B17C89">
        <w:t>)</w:t>
      </w:r>
      <w:r w:rsidRPr="00B17C89">
        <w:t xml:space="preserve">. </w:t>
      </w:r>
    </w:p>
    <w:p w14:paraId="386D9C2C" w14:textId="3ABBC769" w:rsidR="00A35A18" w:rsidRPr="00864899" w:rsidRDefault="000B270F" w:rsidP="00F10795">
      <w:pPr>
        <w:jc w:val="both"/>
      </w:pPr>
      <w:r w:rsidRPr="00864899">
        <w:t>In this context,</w:t>
      </w:r>
      <w:r w:rsidR="00EA276E" w:rsidRPr="00864899">
        <w:t xml:space="preserve"> GACMO can complement </w:t>
      </w:r>
      <w:r w:rsidRPr="00864899">
        <w:t xml:space="preserve">the </w:t>
      </w:r>
      <w:r w:rsidR="00EA276E" w:rsidRPr="00864899">
        <w:t xml:space="preserve">LEAP model, by providing </w:t>
      </w:r>
      <w:r w:rsidR="0012682D" w:rsidRPr="00864899">
        <w:t xml:space="preserve">a </w:t>
      </w:r>
      <w:r w:rsidR="00EA276E" w:rsidRPr="00864899">
        <w:t xml:space="preserve">quick and simple </w:t>
      </w:r>
      <w:r w:rsidR="00F10795">
        <w:t>a</w:t>
      </w:r>
      <w:r w:rsidR="00EA276E" w:rsidRPr="00864899">
        <w:t>ssessment of emission reduction and abatement costs from the individual mitigation options</w:t>
      </w:r>
      <w:r w:rsidR="007E17B9" w:rsidRPr="00864899">
        <w:t xml:space="preserve"> (without having the need to build </w:t>
      </w:r>
      <w:r w:rsidR="0012682D" w:rsidRPr="00864899">
        <w:t xml:space="preserve">an </w:t>
      </w:r>
      <w:r w:rsidR="007E17B9" w:rsidRPr="00864899">
        <w:t>entire energy system model)</w:t>
      </w:r>
      <w:r w:rsidR="00EA276E" w:rsidRPr="00864899">
        <w:t>.</w:t>
      </w:r>
    </w:p>
    <w:p w14:paraId="202FC165" w14:textId="2316193B" w:rsidR="001838B8" w:rsidRDefault="00A731EB" w:rsidP="00F10795">
      <w:pPr>
        <w:pStyle w:val="Heading1"/>
        <w:spacing w:before="120" w:after="120"/>
        <w:rPr>
          <w:rFonts w:ascii="Calibri" w:eastAsia="Calibri" w:hAnsi="Calibri" w:cs="Calibri"/>
          <w:sz w:val="36"/>
          <w:szCs w:val="36"/>
        </w:rPr>
      </w:pPr>
      <w:bookmarkStart w:id="3" w:name="_Toc151557924"/>
      <w:r>
        <w:rPr>
          <w:rFonts w:ascii="Calibri" w:eastAsia="Calibri" w:hAnsi="Calibri" w:cs="Calibri"/>
          <w:sz w:val="36"/>
          <w:szCs w:val="36"/>
        </w:rPr>
        <w:lastRenderedPageBreak/>
        <w:t>What is the structure of GACMO?</w:t>
      </w:r>
      <w:bookmarkEnd w:id="3"/>
    </w:p>
    <w:p w14:paraId="202FC167" w14:textId="40875B34" w:rsidR="001838B8" w:rsidRDefault="00A731EB">
      <w:pPr>
        <w:jc w:val="both"/>
      </w:pPr>
      <w:r>
        <w:t xml:space="preserve">When a user installs </w:t>
      </w:r>
      <w:r w:rsidR="00CF53AF">
        <w:t xml:space="preserve">the </w:t>
      </w:r>
      <w:r>
        <w:t xml:space="preserve">GACMO </w:t>
      </w:r>
      <w:r w:rsidR="00CF53AF">
        <w:t xml:space="preserve">tool </w:t>
      </w:r>
      <w:r>
        <w:t xml:space="preserve">on a personal computer and opens the </w:t>
      </w:r>
      <w:r w:rsidR="00CF53AF">
        <w:t>“</w:t>
      </w:r>
      <w:r>
        <w:t>Excel GACMO file</w:t>
      </w:r>
      <w:r w:rsidR="00CF53AF">
        <w:t>”</w:t>
      </w:r>
      <w:r>
        <w:t>, only two spreadsheets are visible:</w:t>
      </w:r>
    </w:p>
    <w:p w14:paraId="202FC168" w14:textId="24535AA7" w:rsidR="001838B8" w:rsidRDefault="00A731EB">
      <w:pPr>
        <w:numPr>
          <w:ilvl w:val="0"/>
          <w:numId w:val="5"/>
        </w:numPr>
        <w:pBdr>
          <w:top w:val="nil"/>
          <w:left w:val="nil"/>
          <w:bottom w:val="nil"/>
          <w:right w:val="nil"/>
          <w:between w:val="nil"/>
        </w:pBdr>
        <w:spacing w:after="0"/>
        <w:jc w:val="both"/>
        <w:rPr>
          <w:color w:val="000000"/>
        </w:rPr>
      </w:pPr>
      <w:r>
        <w:rPr>
          <w:color w:val="5B9BD5"/>
        </w:rPr>
        <w:t>Introduction</w:t>
      </w:r>
      <w:r>
        <w:rPr>
          <w:color w:val="000000"/>
        </w:rPr>
        <w:t xml:space="preserve">: this spreadsheet provides an overview of what </w:t>
      </w:r>
      <w:r w:rsidR="00F13292">
        <w:rPr>
          <w:color w:val="000000"/>
        </w:rPr>
        <w:t xml:space="preserve">the </w:t>
      </w:r>
      <w:r>
        <w:rPr>
          <w:color w:val="000000"/>
        </w:rPr>
        <w:t xml:space="preserve">GACMO </w:t>
      </w:r>
      <w:r w:rsidR="00F13292">
        <w:rPr>
          <w:color w:val="000000"/>
        </w:rPr>
        <w:t xml:space="preserve">tool </w:t>
      </w:r>
      <w:r>
        <w:rPr>
          <w:color w:val="000000"/>
        </w:rPr>
        <w:t xml:space="preserve">is and what </w:t>
      </w:r>
      <w:r w:rsidR="00F13292">
        <w:rPr>
          <w:color w:val="000000"/>
        </w:rPr>
        <w:t>its</w:t>
      </w:r>
      <w:r>
        <w:rPr>
          <w:color w:val="000000"/>
        </w:rPr>
        <w:t xml:space="preserve"> structure is.</w:t>
      </w:r>
    </w:p>
    <w:p w14:paraId="202FC169" w14:textId="14B58B7E" w:rsidR="001838B8" w:rsidRDefault="00A731EB">
      <w:pPr>
        <w:numPr>
          <w:ilvl w:val="0"/>
          <w:numId w:val="5"/>
        </w:numPr>
        <w:pBdr>
          <w:top w:val="nil"/>
          <w:left w:val="nil"/>
          <w:bottom w:val="nil"/>
          <w:right w:val="nil"/>
          <w:between w:val="nil"/>
        </w:pBdr>
        <w:jc w:val="both"/>
        <w:rPr>
          <w:color w:val="000000"/>
        </w:rPr>
      </w:pPr>
      <w:r>
        <w:rPr>
          <w:color w:val="5B9BD5"/>
        </w:rPr>
        <w:t>Guidance</w:t>
      </w:r>
      <w:r>
        <w:rPr>
          <w:color w:val="000000"/>
        </w:rPr>
        <w:t xml:space="preserve">: this spreadsheet provides a quick step-by-step explanation for using </w:t>
      </w:r>
      <w:r w:rsidR="00F13292">
        <w:rPr>
          <w:color w:val="000000"/>
        </w:rPr>
        <w:t xml:space="preserve">the </w:t>
      </w:r>
      <w:r>
        <w:rPr>
          <w:color w:val="000000"/>
        </w:rPr>
        <w:t>GACMO</w:t>
      </w:r>
      <w:r w:rsidR="00F13292">
        <w:rPr>
          <w:color w:val="000000"/>
        </w:rPr>
        <w:t xml:space="preserve"> tool</w:t>
      </w:r>
      <w:r>
        <w:rPr>
          <w:color w:val="000000"/>
        </w:rPr>
        <w:t>.</w:t>
      </w:r>
    </w:p>
    <w:p w14:paraId="202FC16A" w14:textId="189E0469" w:rsidR="001838B8" w:rsidRDefault="00F13292">
      <w:pPr>
        <w:jc w:val="both"/>
      </w:pPr>
      <w:r>
        <w:t xml:space="preserve">The </w:t>
      </w:r>
      <w:r w:rsidR="00A731EB">
        <w:t>GACMO</w:t>
      </w:r>
      <w:r>
        <w:t xml:space="preserve"> tool</w:t>
      </w:r>
      <w:r w:rsidR="00A731EB">
        <w:t xml:space="preserve"> includes then seven spreadsheets with technical data that the user needs to consider following a stepwise approach. The interface of the tool is made so that the user is taken from the first spreadsheet to the last spreadsheet following a logical order. These spreadsheets are:</w:t>
      </w:r>
    </w:p>
    <w:p w14:paraId="202FC16B" w14:textId="4D7EC52B" w:rsidR="001838B8" w:rsidRDefault="00A731EB">
      <w:pPr>
        <w:numPr>
          <w:ilvl w:val="0"/>
          <w:numId w:val="5"/>
        </w:numPr>
        <w:pBdr>
          <w:top w:val="nil"/>
          <w:left w:val="nil"/>
          <w:bottom w:val="nil"/>
          <w:right w:val="nil"/>
          <w:between w:val="nil"/>
        </w:pBdr>
        <w:spacing w:after="0"/>
        <w:jc w:val="both"/>
        <w:rPr>
          <w:color w:val="000000"/>
        </w:rPr>
      </w:pPr>
      <w:bookmarkStart w:id="4" w:name="_heading=h.2et92p0" w:colFirst="0" w:colLast="0"/>
      <w:bookmarkEnd w:id="4"/>
      <w:r>
        <w:rPr>
          <w:color w:val="5B9BD5"/>
        </w:rPr>
        <w:t>Assumptions</w:t>
      </w:r>
      <w:r>
        <w:rPr>
          <w:color w:val="000000"/>
        </w:rPr>
        <w:t>: this spreadsheet includes all the basic country</w:t>
      </w:r>
      <w:r w:rsidR="009153DA">
        <w:rPr>
          <w:color w:val="000000"/>
        </w:rPr>
        <w:t xml:space="preserve"> data</w:t>
      </w:r>
      <w:r>
        <w:rPr>
          <w:color w:val="000000"/>
        </w:rPr>
        <w:t xml:space="preserve">, </w:t>
      </w:r>
      <w:r w:rsidR="009153DA">
        <w:rPr>
          <w:color w:val="000000"/>
        </w:rPr>
        <w:t>fuel prices</w:t>
      </w:r>
      <w:r>
        <w:rPr>
          <w:color w:val="000000"/>
        </w:rPr>
        <w:t xml:space="preserve">, and technical data that the GACMO tool needs as inputs for the calculations. </w:t>
      </w:r>
      <w:r>
        <w:rPr>
          <w:color w:val="C55911"/>
        </w:rPr>
        <w:t>This sheet must be filled in by the user.</w:t>
      </w:r>
    </w:p>
    <w:p w14:paraId="202FC16C" w14:textId="77777777" w:rsidR="001838B8" w:rsidRDefault="00A731EB">
      <w:pPr>
        <w:numPr>
          <w:ilvl w:val="0"/>
          <w:numId w:val="5"/>
        </w:numPr>
        <w:pBdr>
          <w:top w:val="nil"/>
          <w:left w:val="nil"/>
          <w:bottom w:val="nil"/>
          <w:right w:val="nil"/>
          <w:between w:val="nil"/>
        </w:pBdr>
        <w:spacing w:after="0"/>
        <w:jc w:val="both"/>
        <w:rPr>
          <w:color w:val="C55911"/>
        </w:rPr>
      </w:pPr>
      <w:r>
        <w:rPr>
          <w:color w:val="5B9BD5"/>
        </w:rPr>
        <w:t>Energy Balance</w:t>
      </w:r>
      <w:r>
        <w:rPr>
          <w:color w:val="000000"/>
        </w:rPr>
        <w:t xml:space="preserve">: this spreadsheet includes the energy data disaggregated by sector of activity for the start year. </w:t>
      </w:r>
      <w:r>
        <w:rPr>
          <w:color w:val="C55911"/>
        </w:rPr>
        <w:t>This sheet must be filled in by the user.</w:t>
      </w:r>
    </w:p>
    <w:p w14:paraId="202FC16D" w14:textId="1FF00547" w:rsidR="001838B8" w:rsidRDefault="00A731EB">
      <w:pPr>
        <w:numPr>
          <w:ilvl w:val="0"/>
          <w:numId w:val="5"/>
        </w:numPr>
        <w:pBdr>
          <w:top w:val="nil"/>
          <w:left w:val="nil"/>
          <w:bottom w:val="nil"/>
          <w:right w:val="nil"/>
          <w:between w:val="nil"/>
        </w:pBdr>
        <w:spacing w:after="0"/>
        <w:jc w:val="both"/>
        <w:rPr>
          <w:color w:val="C55911"/>
        </w:rPr>
      </w:pPr>
      <w:r>
        <w:rPr>
          <w:color w:val="5B9BD5"/>
        </w:rPr>
        <w:t>GHG Balance</w:t>
      </w:r>
      <w:r>
        <w:rPr>
          <w:color w:val="000000"/>
        </w:rPr>
        <w:t xml:space="preserve">: this spreadsheet includes the GHG emissions data disaggregated by sector of activity for the start year. </w:t>
      </w:r>
      <w:r w:rsidR="00A66167">
        <w:rPr>
          <w:color w:val="000000"/>
        </w:rPr>
        <w:t xml:space="preserve">The </w:t>
      </w:r>
      <w:r w:rsidR="006C0837">
        <w:rPr>
          <w:color w:val="000000"/>
        </w:rPr>
        <w:t>CO</w:t>
      </w:r>
      <w:r w:rsidR="006C0837" w:rsidRPr="0017106A">
        <w:rPr>
          <w:color w:val="000000"/>
          <w:vertAlign w:val="subscript"/>
        </w:rPr>
        <w:t>2</w:t>
      </w:r>
      <w:r w:rsidR="006C0837">
        <w:rPr>
          <w:color w:val="000000"/>
        </w:rPr>
        <w:t xml:space="preserve"> emissions from fuel comb</w:t>
      </w:r>
      <w:r w:rsidR="00BB40B0">
        <w:rPr>
          <w:color w:val="000000"/>
        </w:rPr>
        <w:t xml:space="preserve">ustion </w:t>
      </w:r>
      <w:r w:rsidR="00DF20D5">
        <w:rPr>
          <w:color w:val="000000"/>
        </w:rPr>
        <w:t>are</w:t>
      </w:r>
      <w:r w:rsidR="00BB40B0">
        <w:rPr>
          <w:color w:val="000000"/>
        </w:rPr>
        <w:t xml:space="preserve"> estimated by the GACMO</w:t>
      </w:r>
      <w:r w:rsidR="00A66167">
        <w:rPr>
          <w:color w:val="000000"/>
        </w:rPr>
        <w:t xml:space="preserve"> tool</w:t>
      </w:r>
      <w:r w:rsidR="00BB40B0">
        <w:rPr>
          <w:color w:val="000000"/>
        </w:rPr>
        <w:t xml:space="preserve"> automatically.</w:t>
      </w:r>
      <w:r w:rsidR="0017106A">
        <w:rPr>
          <w:color w:val="000000"/>
        </w:rPr>
        <w:t xml:space="preserve"> The</w:t>
      </w:r>
      <w:r w:rsidR="00BB40B0">
        <w:rPr>
          <w:color w:val="000000"/>
        </w:rPr>
        <w:t xml:space="preserve"> </w:t>
      </w:r>
      <w:r w:rsidR="00BB40B0" w:rsidRPr="00A66167">
        <w:t>CH</w:t>
      </w:r>
      <w:r w:rsidR="00BB40B0" w:rsidRPr="0017106A">
        <w:rPr>
          <w:vertAlign w:val="subscript"/>
        </w:rPr>
        <w:t>4</w:t>
      </w:r>
      <w:r w:rsidR="00BB40B0" w:rsidRPr="00A66167">
        <w:t xml:space="preserve"> and N</w:t>
      </w:r>
      <w:r w:rsidR="00BB40B0" w:rsidRPr="0017106A">
        <w:rPr>
          <w:vertAlign w:val="subscript"/>
        </w:rPr>
        <w:t>2</w:t>
      </w:r>
      <w:r w:rsidR="00BB40B0" w:rsidRPr="00A66167">
        <w:t>O emissions from fuel combustion and emissions from the non-energy sectors</w:t>
      </w:r>
      <w:r>
        <w:rPr>
          <w:color w:val="C55911"/>
        </w:rPr>
        <w:t xml:space="preserve"> must be filled in by the user.</w:t>
      </w:r>
    </w:p>
    <w:p w14:paraId="202FC16E" w14:textId="77777777" w:rsidR="001838B8" w:rsidRDefault="00A731EB">
      <w:pPr>
        <w:numPr>
          <w:ilvl w:val="0"/>
          <w:numId w:val="5"/>
        </w:numPr>
        <w:pBdr>
          <w:top w:val="nil"/>
          <w:left w:val="nil"/>
          <w:bottom w:val="nil"/>
          <w:right w:val="nil"/>
          <w:between w:val="nil"/>
        </w:pBdr>
        <w:spacing w:after="0"/>
        <w:jc w:val="both"/>
        <w:rPr>
          <w:color w:val="C55911"/>
        </w:rPr>
      </w:pPr>
      <w:r>
        <w:rPr>
          <w:color w:val="5B9BD5"/>
        </w:rPr>
        <w:t>Growth</w:t>
      </w:r>
      <w:r>
        <w:rPr>
          <w:color w:val="000000"/>
        </w:rPr>
        <w:t xml:space="preserve">: this spreadsheet includes the expected growth in energy consumption for the different sectors of activity for different periods of time. </w:t>
      </w:r>
      <w:r>
        <w:rPr>
          <w:color w:val="C55911"/>
        </w:rPr>
        <w:t>This sheet must be filled in by the user.</w:t>
      </w:r>
    </w:p>
    <w:p w14:paraId="202FC16F" w14:textId="2CCB63C5" w:rsidR="001838B8" w:rsidRDefault="00A731EB">
      <w:pPr>
        <w:numPr>
          <w:ilvl w:val="0"/>
          <w:numId w:val="5"/>
        </w:numPr>
        <w:pBdr>
          <w:top w:val="nil"/>
          <w:left w:val="nil"/>
          <w:bottom w:val="nil"/>
          <w:right w:val="nil"/>
          <w:between w:val="nil"/>
        </w:pBdr>
        <w:spacing w:after="0"/>
        <w:jc w:val="both"/>
        <w:rPr>
          <w:color w:val="000000"/>
        </w:rPr>
      </w:pPr>
      <w:r>
        <w:rPr>
          <w:color w:val="5B9BD5"/>
        </w:rPr>
        <w:t>BAU projected Energy Balances</w:t>
      </w:r>
      <w:r>
        <w:rPr>
          <w:color w:val="000000"/>
        </w:rPr>
        <w:t xml:space="preserve">: this spreadsheet includes the future energy balances for the years 2025, 2030, </w:t>
      </w:r>
      <w:r w:rsidR="009306CC">
        <w:rPr>
          <w:color w:val="000000"/>
        </w:rPr>
        <w:t xml:space="preserve">2035, </w:t>
      </w:r>
      <w:r w:rsidR="00811C44">
        <w:t xml:space="preserve">2040, 2045, </w:t>
      </w:r>
      <w:r>
        <w:rPr>
          <w:color w:val="000000"/>
        </w:rPr>
        <w:t>and 2050. The data in this sheet are automatically calculated by</w:t>
      </w:r>
      <w:r w:rsidR="00F13292">
        <w:rPr>
          <w:color w:val="000000"/>
        </w:rPr>
        <w:t xml:space="preserve"> the</w:t>
      </w:r>
      <w:r>
        <w:rPr>
          <w:color w:val="000000"/>
        </w:rPr>
        <w:t xml:space="preserve"> GACMO</w:t>
      </w:r>
      <w:r w:rsidR="00F13292">
        <w:rPr>
          <w:color w:val="000000"/>
        </w:rPr>
        <w:t xml:space="preserve"> tool</w:t>
      </w:r>
      <w:r>
        <w:rPr>
          <w:color w:val="000000"/>
        </w:rPr>
        <w:t>.</w:t>
      </w:r>
    </w:p>
    <w:p w14:paraId="202FC170" w14:textId="11BF4600" w:rsidR="001838B8" w:rsidRDefault="00A731EB">
      <w:pPr>
        <w:numPr>
          <w:ilvl w:val="0"/>
          <w:numId w:val="5"/>
        </w:numPr>
        <w:pBdr>
          <w:top w:val="nil"/>
          <w:left w:val="nil"/>
          <w:bottom w:val="nil"/>
          <w:right w:val="nil"/>
          <w:between w:val="nil"/>
        </w:pBdr>
        <w:spacing w:after="0"/>
        <w:jc w:val="both"/>
        <w:rPr>
          <w:color w:val="000000"/>
        </w:rPr>
      </w:pPr>
      <w:r>
        <w:rPr>
          <w:color w:val="5B9BD5"/>
        </w:rPr>
        <w:t>BAU projected GHG Balances</w:t>
      </w:r>
      <w:r>
        <w:rPr>
          <w:color w:val="000000"/>
        </w:rPr>
        <w:t xml:space="preserve">: this spreadsheet includes the future </w:t>
      </w:r>
      <w:r w:rsidR="002A2ACB">
        <w:rPr>
          <w:color w:val="000000"/>
        </w:rPr>
        <w:t>GHG</w:t>
      </w:r>
      <w:r>
        <w:rPr>
          <w:color w:val="000000"/>
        </w:rPr>
        <w:t xml:space="preserve"> emissions for the years 2025, 2030, </w:t>
      </w:r>
      <w:r w:rsidR="009F0D2D">
        <w:rPr>
          <w:color w:val="000000"/>
        </w:rPr>
        <w:t>2035</w:t>
      </w:r>
      <w:r w:rsidR="009306CC">
        <w:rPr>
          <w:color w:val="000000"/>
        </w:rPr>
        <w:t xml:space="preserve">, </w:t>
      </w:r>
      <w:r w:rsidR="00811C44">
        <w:t xml:space="preserve">2040, 2045, </w:t>
      </w:r>
      <w:r>
        <w:rPr>
          <w:color w:val="000000"/>
        </w:rPr>
        <w:t xml:space="preserve">and 2050. The data in this sheet are automatically calculated by </w:t>
      </w:r>
      <w:r w:rsidR="00F13292">
        <w:rPr>
          <w:color w:val="000000"/>
        </w:rPr>
        <w:t xml:space="preserve">the </w:t>
      </w:r>
      <w:r>
        <w:rPr>
          <w:color w:val="000000"/>
        </w:rPr>
        <w:t>GACMO</w:t>
      </w:r>
      <w:r w:rsidR="00F13292">
        <w:rPr>
          <w:color w:val="000000"/>
        </w:rPr>
        <w:t xml:space="preserve"> tool</w:t>
      </w:r>
      <w:r>
        <w:rPr>
          <w:color w:val="000000"/>
        </w:rPr>
        <w:t>.</w:t>
      </w:r>
    </w:p>
    <w:p w14:paraId="202FC171" w14:textId="7B082AAA" w:rsidR="001838B8" w:rsidRDefault="00A731EB">
      <w:pPr>
        <w:numPr>
          <w:ilvl w:val="0"/>
          <w:numId w:val="5"/>
        </w:numPr>
        <w:pBdr>
          <w:top w:val="nil"/>
          <w:left w:val="nil"/>
          <w:bottom w:val="nil"/>
          <w:right w:val="nil"/>
          <w:between w:val="nil"/>
        </w:pBdr>
        <w:jc w:val="both"/>
        <w:rPr>
          <w:color w:val="000000"/>
        </w:rPr>
      </w:pPr>
      <w:r>
        <w:rPr>
          <w:color w:val="5B9BD5"/>
        </w:rPr>
        <w:t>Mitigation Options</w:t>
      </w:r>
      <w:r>
        <w:rPr>
          <w:color w:val="000000"/>
        </w:rPr>
        <w:t xml:space="preserve">: this spreadsheet includes all the mitigation options that the user </w:t>
      </w:r>
      <w:r w:rsidR="005E0A33">
        <w:rPr>
          <w:color w:val="000000"/>
        </w:rPr>
        <w:t xml:space="preserve">may </w:t>
      </w:r>
      <w:r>
        <w:rPr>
          <w:color w:val="000000"/>
        </w:rPr>
        <w:t xml:space="preserve">select depending on the national context, as well as the data relative to those mitigation options that the GACMO tool needs as inputs for the calculations. </w:t>
      </w:r>
      <w:r>
        <w:rPr>
          <w:color w:val="C55911"/>
        </w:rPr>
        <w:t xml:space="preserve">This sheet must be filled in by the user. </w:t>
      </w:r>
      <w:r>
        <w:rPr>
          <w:color w:val="000000"/>
        </w:rPr>
        <w:t xml:space="preserve">In addition, this spreadsheet includes data about the emission reduction potential of the mitigation options as well as data about their costs which are automatically calculated by </w:t>
      </w:r>
      <w:r w:rsidR="00F13292">
        <w:rPr>
          <w:color w:val="000000"/>
        </w:rPr>
        <w:t>the tool</w:t>
      </w:r>
      <w:r>
        <w:rPr>
          <w:color w:val="000000"/>
        </w:rPr>
        <w:t>.</w:t>
      </w:r>
    </w:p>
    <w:p w14:paraId="202FC172" w14:textId="4470576B" w:rsidR="001838B8" w:rsidRDefault="00A731EB">
      <w:pPr>
        <w:jc w:val="both"/>
      </w:pPr>
      <w:r>
        <w:t xml:space="preserve">In addition, </w:t>
      </w:r>
      <w:r w:rsidR="00F13292">
        <w:t xml:space="preserve">the </w:t>
      </w:r>
      <w:r>
        <w:t>GACMO</w:t>
      </w:r>
      <w:r w:rsidR="00F13292">
        <w:t xml:space="preserve"> tool</w:t>
      </w:r>
      <w:r>
        <w:t xml:space="preserve"> includes two additional spreadsheets: </w:t>
      </w:r>
    </w:p>
    <w:p w14:paraId="202FC173" w14:textId="0359C3AF" w:rsidR="001838B8" w:rsidRDefault="00A731EB">
      <w:pPr>
        <w:numPr>
          <w:ilvl w:val="0"/>
          <w:numId w:val="5"/>
        </w:numPr>
        <w:pBdr>
          <w:top w:val="nil"/>
          <w:left w:val="nil"/>
          <w:bottom w:val="nil"/>
          <w:right w:val="nil"/>
          <w:between w:val="nil"/>
        </w:pBdr>
        <w:spacing w:after="0"/>
        <w:jc w:val="both"/>
        <w:rPr>
          <w:color w:val="000000"/>
        </w:rPr>
      </w:pPr>
      <w:r>
        <w:rPr>
          <w:color w:val="5B9BD5"/>
        </w:rPr>
        <w:lastRenderedPageBreak/>
        <w:t>Results</w:t>
      </w:r>
      <w:r>
        <w:rPr>
          <w:color w:val="000000"/>
        </w:rPr>
        <w:t xml:space="preserve">: this spreadsheet includes all the </w:t>
      </w:r>
      <w:proofErr w:type="gramStart"/>
      <w:r>
        <w:rPr>
          <w:color w:val="000000"/>
        </w:rPr>
        <w:t>final results</w:t>
      </w:r>
      <w:proofErr w:type="gramEnd"/>
      <w:r>
        <w:rPr>
          <w:color w:val="000000"/>
        </w:rPr>
        <w:t xml:space="preserve"> for the </w:t>
      </w:r>
      <w:r w:rsidR="0068537E">
        <w:rPr>
          <w:color w:val="000000"/>
        </w:rPr>
        <w:t>GHG</w:t>
      </w:r>
      <w:r>
        <w:rPr>
          <w:color w:val="000000"/>
        </w:rPr>
        <w:t xml:space="preserve"> emissions </w:t>
      </w:r>
      <w:r w:rsidR="00645C95">
        <w:rPr>
          <w:color w:val="000000"/>
        </w:rPr>
        <w:t xml:space="preserve">projections, </w:t>
      </w:r>
      <w:r>
        <w:rPr>
          <w:color w:val="000000"/>
        </w:rPr>
        <w:t>reductions and costs calculations. The sheet also displays the graphical results from the data analysis.</w:t>
      </w:r>
    </w:p>
    <w:p w14:paraId="413105F1" w14:textId="71B7B008" w:rsidR="0017106A" w:rsidRDefault="00DD42ED" w:rsidP="0017106A">
      <w:pPr>
        <w:numPr>
          <w:ilvl w:val="0"/>
          <w:numId w:val="5"/>
        </w:numPr>
        <w:pBdr>
          <w:top w:val="nil"/>
          <w:left w:val="nil"/>
          <w:bottom w:val="nil"/>
          <w:right w:val="nil"/>
          <w:between w:val="nil"/>
        </w:pBdr>
        <w:jc w:val="both"/>
        <w:rPr>
          <w:color w:val="000000"/>
        </w:rPr>
      </w:pPr>
      <w:r>
        <w:rPr>
          <w:color w:val="5B9BD5"/>
        </w:rPr>
        <w:t>Tracking</w:t>
      </w:r>
      <w:r w:rsidR="005D54B7">
        <w:rPr>
          <w:color w:val="5B9BD5"/>
        </w:rPr>
        <w:t xml:space="preserve"> progress</w:t>
      </w:r>
      <w:r w:rsidR="00A731EB">
        <w:rPr>
          <w:color w:val="000000"/>
        </w:rPr>
        <w:t xml:space="preserve">: this spreadsheet is used by the user to monitor the progress made in implementing each mitigation action. The </w:t>
      </w:r>
      <w:r w:rsidR="002E0D4B">
        <w:rPr>
          <w:color w:val="000000"/>
        </w:rPr>
        <w:t>Tracking</w:t>
      </w:r>
      <w:r w:rsidR="005D54B7">
        <w:rPr>
          <w:color w:val="000000"/>
        </w:rPr>
        <w:t xml:space="preserve"> progress</w:t>
      </w:r>
      <w:r w:rsidR="002E0D4B">
        <w:rPr>
          <w:color w:val="000000"/>
        </w:rPr>
        <w:t xml:space="preserve"> </w:t>
      </w:r>
      <w:r w:rsidR="00A731EB">
        <w:rPr>
          <w:color w:val="000000"/>
        </w:rPr>
        <w:t xml:space="preserve">sheet is thus used ex-post, that is, once the mitigation options are under implementation or have been implemented, to estimate </w:t>
      </w:r>
      <w:r w:rsidR="002E0D4B">
        <w:rPr>
          <w:color w:val="000000"/>
        </w:rPr>
        <w:t>achieved</w:t>
      </w:r>
      <w:r w:rsidR="00A731EB">
        <w:rPr>
          <w:color w:val="000000"/>
        </w:rPr>
        <w:t xml:space="preserve"> reductions of the GHG emissions.</w:t>
      </w:r>
      <w:r w:rsidR="00C652D8" w:rsidRPr="00C652D8">
        <w:rPr>
          <w:noProof/>
        </w:rPr>
        <w:t xml:space="preserve"> </w:t>
      </w:r>
    </w:p>
    <w:p w14:paraId="1844CC1E" w14:textId="7A3C4B63" w:rsidR="00D04801" w:rsidRPr="0017106A" w:rsidRDefault="0017106A" w:rsidP="0017106A">
      <w:pPr>
        <w:jc w:val="both"/>
      </w:pPr>
      <w:r>
        <w:t>The f</w:t>
      </w:r>
      <w:r w:rsidR="00D04801" w:rsidRPr="0017106A">
        <w:t xml:space="preserve">igure below shows the schematic for building </w:t>
      </w:r>
      <w:r>
        <w:t xml:space="preserve">the </w:t>
      </w:r>
      <w:r w:rsidR="00D04801" w:rsidRPr="0017106A">
        <w:t xml:space="preserve">GACMO </w:t>
      </w:r>
      <w:r>
        <w:t>tool. T</w:t>
      </w:r>
      <w:r w:rsidR="00D04801" w:rsidRPr="0017106A">
        <w:t>he box</w:t>
      </w:r>
      <w:r w:rsidR="00FE1971" w:rsidRPr="0017106A">
        <w:t>es</w:t>
      </w:r>
      <w:r w:rsidR="00D04801" w:rsidRPr="0017106A">
        <w:t xml:space="preserve"> in orange depict the sheets where the user inserts the data. </w:t>
      </w:r>
      <w:r w:rsidR="000C5E97">
        <w:t>The s</w:t>
      </w:r>
      <w:r w:rsidR="00F1341D" w:rsidRPr="0017106A">
        <w:t xml:space="preserve">teps 1-4 involve input data for </w:t>
      </w:r>
      <w:r w:rsidR="004F7B11" w:rsidRPr="0017106A">
        <w:t>Start Year and BAU scenario</w:t>
      </w:r>
      <w:r>
        <w:t>.</w:t>
      </w:r>
      <w:r w:rsidR="003D22F8" w:rsidRPr="0017106A">
        <w:t xml:space="preserve"> </w:t>
      </w:r>
      <w:r w:rsidR="000C5E97">
        <w:t>The s</w:t>
      </w:r>
      <w:r w:rsidR="0032060B" w:rsidRPr="0017106A">
        <w:t>tep</w:t>
      </w:r>
      <w:r>
        <w:t>s</w:t>
      </w:r>
      <w:r w:rsidR="0032060B" w:rsidRPr="0017106A">
        <w:t xml:space="preserve"> 5-6 present </w:t>
      </w:r>
      <w:r w:rsidR="000C5E97">
        <w:t xml:space="preserve">the </w:t>
      </w:r>
      <w:r w:rsidR="0032060B" w:rsidRPr="0017106A">
        <w:t>results for BAU scenario</w:t>
      </w:r>
      <w:r w:rsidR="003D22F8" w:rsidRPr="0017106A">
        <w:t xml:space="preserve">. </w:t>
      </w:r>
      <w:r w:rsidR="000C5E97">
        <w:t>The s</w:t>
      </w:r>
      <w:r w:rsidR="003D22F8" w:rsidRPr="0017106A">
        <w:t>tep 7 involve</w:t>
      </w:r>
      <w:r w:rsidR="00CB707D" w:rsidRPr="0017106A">
        <w:t>s</w:t>
      </w:r>
      <w:r w:rsidR="003D22F8" w:rsidRPr="0017106A">
        <w:t xml:space="preserve"> input data for the mitigation scenario and technology sheets </w:t>
      </w:r>
      <w:r w:rsidR="00D4257E" w:rsidRPr="0017106A">
        <w:t>(</w:t>
      </w:r>
      <w:r w:rsidR="009310D8" w:rsidRPr="0017106A">
        <w:t>that is</w:t>
      </w:r>
      <w:r w:rsidR="00D4257E" w:rsidRPr="0017106A">
        <w:t xml:space="preserve"> partially filled from </w:t>
      </w:r>
      <w:r w:rsidR="00CB707D" w:rsidRPr="0017106A">
        <w:t xml:space="preserve">the </w:t>
      </w:r>
      <w:r w:rsidR="00D4257E" w:rsidRPr="0017106A">
        <w:t>Assumptions sheet)</w:t>
      </w:r>
      <w:r w:rsidR="003D22F8" w:rsidRPr="0017106A">
        <w:t xml:space="preserve">. </w:t>
      </w:r>
      <w:r w:rsidR="00CB707D" w:rsidRPr="0017106A">
        <w:t xml:space="preserve">Final modelling results and tracking progress </w:t>
      </w:r>
      <w:r w:rsidR="007278B6">
        <w:t>are done</w:t>
      </w:r>
      <w:r w:rsidR="00CB707D" w:rsidRPr="0017106A">
        <w:t xml:space="preserve"> in the </w:t>
      </w:r>
      <w:r w:rsidR="007278B6">
        <w:t>s</w:t>
      </w:r>
      <w:r w:rsidR="00CB707D" w:rsidRPr="0017106A">
        <w:t xml:space="preserve">teps 8-9. </w:t>
      </w:r>
    </w:p>
    <w:p w14:paraId="734B44E3" w14:textId="55B46F89" w:rsidR="00A471E1" w:rsidRDefault="00792D2E">
      <w:pPr>
        <w:pBdr>
          <w:top w:val="nil"/>
          <w:left w:val="nil"/>
          <w:bottom w:val="nil"/>
          <w:right w:val="nil"/>
          <w:between w:val="nil"/>
        </w:pBdr>
        <w:ind w:left="720"/>
        <w:rPr>
          <w:noProof/>
        </w:rPr>
      </w:pPr>
      <w:r>
        <w:rPr>
          <w:noProof/>
        </w:rPr>
        <w:drawing>
          <wp:inline distT="0" distB="0" distL="0" distR="0" wp14:anchorId="654F8F54" wp14:editId="234F462C">
            <wp:extent cx="5022850" cy="4072535"/>
            <wp:effectExtent l="0" t="0" r="6350" b="4445"/>
            <wp:docPr id="516359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7361" cy="4076192"/>
                    </a:xfrm>
                    <a:prstGeom prst="rect">
                      <a:avLst/>
                    </a:prstGeom>
                    <a:noFill/>
                  </pic:spPr>
                </pic:pic>
              </a:graphicData>
            </a:graphic>
          </wp:inline>
        </w:drawing>
      </w:r>
    </w:p>
    <w:p w14:paraId="3F15BE63" w14:textId="77777777" w:rsidR="00792D2E" w:rsidRDefault="00792D2E" w:rsidP="00A471E1">
      <w:pPr>
        <w:jc w:val="both"/>
        <w:rPr>
          <w:highlight w:val="cyan"/>
        </w:rPr>
      </w:pPr>
    </w:p>
    <w:p w14:paraId="7D1E8D20" w14:textId="034A9AEE" w:rsidR="00A471E1" w:rsidRDefault="00F630E4" w:rsidP="00A471E1">
      <w:pPr>
        <w:jc w:val="both"/>
      </w:pPr>
      <w:r w:rsidRPr="00656A35">
        <w:t>Note that once</w:t>
      </w:r>
      <w:r w:rsidR="00A471E1" w:rsidRPr="00656A35">
        <w:t xml:space="preserve"> the user clicks “Go to Step 5”, </w:t>
      </w:r>
      <w:r w:rsidRPr="00656A35">
        <w:t>the s</w:t>
      </w:r>
      <w:r w:rsidR="00A471E1" w:rsidRPr="00656A35">
        <w:t xml:space="preserve">heets </w:t>
      </w:r>
      <w:r w:rsidRPr="00656A35">
        <w:t>corresponding to</w:t>
      </w:r>
      <w:r w:rsidR="00A471E1" w:rsidRPr="00656A35">
        <w:t xml:space="preserve"> </w:t>
      </w:r>
      <w:r w:rsidRPr="00656A35">
        <w:t>s</w:t>
      </w:r>
      <w:r w:rsidR="00A471E1" w:rsidRPr="00656A35">
        <w:t xml:space="preserve">teps 1-4 will be hidden. This is because </w:t>
      </w:r>
      <w:r w:rsidRPr="00656A35">
        <w:t>the s</w:t>
      </w:r>
      <w:r w:rsidR="00A471E1" w:rsidRPr="00656A35">
        <w:t>tep 4 finishes the process of input data collection for</w:t>
      </w:r>
      <w:r w:rsidRPr="00656A35">
        <w:t xml:space="preserve"> the</w:t>
      </w:r>
      <w:r w:rsidR="00A471E1" w:rsidRPr="00656A35">
        <w:t xml:space="preserve"> Start Year and </w:t>
      </w:r>
      <w:r w:rsidR="00656A35" w:rsidRPr="00656A35">
        <w:t xml:space="preserve">the </w:t>
      </w:r>
      <w:r w:rsidR="00A471E1" w:rsidRPr="00656A35">
        <w:t xml:space="preserve">BAU scenario, </w:t>
      </w:r>
      <w:r w:rsidR="002A2AD0" w:rsidRPr="00656A35">
        <w:t>and</w:t>
      </w:r>
      <w:r w:rsidR="00656A35" w:rsidRPr="00656A35">
        <w:t xml:space="preserve"> because</w:t>
      </w:r>
      <w:r w:rsidR="002A2AD0" w:rsidRPr="00656A35">
        <w:t xml:space="preserve"> </w:t>
      </w:r>
      <w:r w:rsidRPr="00656A35">
        <w:t>the next</w:t>
      </w:r>
      <w:r w:rsidR="002A2AD0" w:rsidRPr="00656A35">
        <w:t xml:space="preserve"> steps</w:t>
      </w:r>
      <w:r w:rsidR="00A471E1" w:rsidRPr="00656A35">
        <w:t xml:space="preserve"> depict the results for</w:t>
      </w:r>
      <w:r w:rsidR="002A2AD0" w:rsidRPr="00656A35">
        <w:t xml:space="preserve"> the</w:t>
      </w:r>
      <w:r w:rsidR="00A471E1" w:rsidRPr="00656A35">
        <w:t xml:space="preserve"> BAU scenario</w:t>
      </w:r>
      <w:r w:rsidR="006D5356" w:rsidRPr="00656A35">
        <w:t xml:space="preserve"> (</w:t>
      </w:r>
      <w:r w:rsidR="00656A35" w:rsidRPr="00656A35">
        <w:t>s</w:t>
      </w:r>
      <w:r w:rsidR="006D5356" w:rsidRPr="00656A35">
        <w:t xml:space="preserve">teps 5-6) and steps for </w:t>
      </w:r>
      <w:r w:rsidR="009036F8" w:rsidRPr="00656A35">
        <w:t>building</w:t>
      </w:r>
      <w:r w:rsidR="006D5356" w:rsidRPr="00656A35">
        <w:t xml:space="preserve"> </w:t>
      </w:r>
      <w:r w:rsidR="00656A35" w:rsidRPr="00656A35">
        <w:t>the m</w:t>
      </w:r>
      <w:r w:rsidR="006D5356" w:rsidRPr="00656A35">
        <w:t>itigation Scenario (</w:t>
      </w:r>
      <w:r w:rsidR="00656A35" w:rsidRPr="00656A35">
        <w:t>s</w:t>
      </w:r>
      <w:r w:rsidR="006D5356" w:rsidRPr="00656A35">
        <w:t>tep 7).</w:t>
      </w:r>
      <w:r w:rsidR="00A471E1" w:rsidRPr="00656A35">
        <w:t xml:space="preserve"> If the user needs to change the input data for </w:t>
      </w:r>
      <w:r w:rsidR="00656A35" w:rsidRPr="00656A35">
        <w:t xml:space="preserve">the </w:t>
      </w:r>
      <w:r w:rsidR="00A471E1" w:rsidRPr="00656A35">
        <w:t xml:space="preserve">BAU </w:t>
      </w:r>
      <w:r w:rsidR="00A471E1" w:rsidRPr="00656A35">
        <w:lastRenderedPageBreak/>
        <w:t xml:space="preserve">scenario or </w:t>
      </w:r>
      <w:r w:rsidR="00656A35" w:rsidRPr="00656A35">
        <w:t xml:space="preserve">the </w:t>
      </w:r>
      <w:r w:rsidR="00A471E1" w:rsidRPr="00656A35">
        <w:t xml:space="preserve">Start Year after viewing </w:t>
      </w:r>
      <w:r w:rsidR="00656A35" w:rsidRPr="00656A35">
        <w:t xml:space="preserve">the </w:t>
      </w:r>
      <w:r w:rsidR="00A471E1" w:rsidRPr="00656A35">
        <w:t xml:space="preserve">results for BAU scenario, </w:t>
      </w:r>
      <w:r w:rsidR="00656A35" w:rsidRPr="00656A35">
        <w:t xml:space="preserve">the </w:t>
      </w:r>
      <w:r w:rsidR="00A471E1" w:rsidRPr="00656A35">
        <w:t xml:space="preserve">user can unhide </w:t>
      </w:r>
      <w:r w:rsidR="00656A35" w:rsidRPr="00656A35">
        <w:t>the s</w:t>
      </w:r>
      <w:r w:rsidR="00A471E1" w:rsidRPr="00656A35">
        <w:t>teps 1-4 by clicking on “Go back to Step 1-4”.</w:t>
      </w:r>
      <w:r w:rsidR="00A471E1">
        <w:t xml:space="preserve">  </w:t>
      </w:r>
    </w:p>
    <w:p w14:paraId="202FC175" w14:textId="25B4B0DF" w:rsidR="001838B8" w:rsidRDefault="00A731EB">
      <w:pPr>
        <w:jc w:val="both"/>
      </w:pPr>
      <w:bookmarkStart w:id="5" w:name="_heading=h.tyjcwt" w:colFirst="0" w:colLast="0"/>
      <w:bookmarkEnd w:id="5"/>
      <w:r>
        <w:t xml:space="preserve">Finally, </w:t>
      </w:r>
      <w:r w:rsidR="00F13292">
        <w:t xml:space="preserve">the </w:t>
      </w:r>
      <w:r>
        <w:t>GACMO</w:t>
      </w:r>
      <w:r w:rsidR="00F13292">
        <w:t xml:space="preserve"> tool</w:t>
      </w:r>
      <w:r>
        <w:t xml:space="preserve"> includes a list of </w:t>
      </w:r>
      <w:r>
        <w:rPr>
          <w:color w:val="5B9BD5"/>
        </w:rPr>
        <w:t xml:space="preserve">Technology sheets </w:t>
      </w:r>
      <w:r>
        <w:t>organized by categories of activities ("Agriculture", "Biomass Energy", "CCS", "Cement", "Coalmine CH</w:t>
      </w:r>
      <w:r w:rsidRPr="009205A3">
        <w:rPr>
          <w:vertAlign w:val="subscript"/>
        </w:rPr>
        <w:t>4</w:t>
      </w:r>
      <w:r>
        <w:t>", "EE households", "EE Industry", "EE own generation", "EE service", "EE supply side", "E</w:t>
      </w:r>
      <w:r w:rsidR="00A6600C">
        <w:t>E</w:t>
      </w:r>
      <w:r>
        <w:t xml:space="preserve"> distribution", "Forestry", "Fossil fuel switch",….) which includes the tables with the default technical and cost values for each specific mitigation option. These Technology sheets are not directly visible in </w:t>
      </w:r>
      <w:r w:rsidR="00F13292">
        <w:t xml:space="preserve">the </w:t>
      </w:r>
      <w:r w:rsidR="00077D45">
        <w:t>tool,</w:t>
      </w:r>
      <w:r>
        <w:t xml:space="preserve"> but the user can access the table with the default technical and cost values for a specific mitigation option by clicking on the name of the corresponding mitigation option in column C of the Mitigation Options sheet. </w:t>
      </w:r>
      <w:r w:rsidR="0055671A">
        <w:t xml:space="preserve">A user should </w:t>
      </w:r>
      <w:r>
        <w:t xml:space="preserve">always </w:t>
      </w:r>
      <w:r w:rsidR="0055671A">
        <w:t>take</w:t>
      </w:r>
      <w:r>
        <w:t xml:space="preserve"> the time to review the tables including all the values for technical and cost data of the relevant mitigation options. If the user has values specific to the country’s national context for some of the technical and cost data of the relevant mitigation options, the user </w:t>
      </w:r>
      <w:r w:rsidR="0055671A">
        <w:t>should</w:t>
      </w:r>
      <w:r>
        <w:t xml:space="preserve"> replace the corresponding default values with these specific values. By doing so, the user will increase the quality of the results </w:t>
      </w:r>
      <w:r w:rsidR="000B6472">
        <w:t>from</w:t>
      </w:r>
      <w:r>
        <w:t xml:space="preserve"> </w:t>
      </w:r>
      <w:r w:rsidR="00F13292">
        <w:t xml:space="preserve">the </w:t>
      </w:r>
      <w:r>
        <w:t>GACMO</w:t>
      </w:r>
      <w:r w:rsidR="00F13292">
        <w:t xml:space="preserve"> tool</w:t>
      </w:r>
      <w:r>
        <w:t>.</w:t>
      </w:r>
    </w:p>
    <w:p w14:paraId="202FC176" w14:textId="77777777" w:rsidR="001838B8" w:rsidRDefault="00A731EB">
      <w:pPr>
        <w:spacing w:after="160" w:line="259" w:lineRule="auto"/>
      </w:pPr>
      <w:r>
        <w:br w:type="page"/>
      </w:r>
    </w:p>
    <w:p w14:paraId="202FC177" w14:textId="77777777" w:rsidR="001838B8" w:rsidRDefault="00A731EB" w:rsidP="00F10795">
      <w:pPr>
        <w:pStyle w:val="Heading1"/>
        <w:spacing w:before="120" w:after="120"/>
        <w:rPr>
          <w:rFonts w:ascii="Calibri" w:eastAsia="Calibri" w:hAnsi="Calibri" w:cs="Calibri"/>
          <w:sz w:val="36"/>
          <w:szCs w:val="36"/>
        </w:rPr>
      </w:pPr>
      <w:bookmarkStart w:id="6" w:name="_Toc151557925"/>
      <w:r>
        <w:rPr>
          <w:rFonts w:ascii="Calibri" w:eastAsia="Calibri" w:hAnsi="Calibri" w:cs="Calibri"/>
          <w:sz w:val="36"/>
          <w:szCs w:val="36"/>
        </w:rPr>
        <w:lastRenderedPageBreak/>
        <w:t>STEP-BY-STEP GUIDE ON THE USE OF GACMO</w:t>
      </w:r>
      <w:bookmarkEnd w:id="6"/>
    </w:p>
    <w:p w14:paraId="202FC179" w14:textId="77777777" w:rsidR="001838B8" w:rsidRDefault="00A731EB">
      <w:pPr>
        <w:jc w:val="both"/>
      </w:pPr>
      <w:r>
        <w:t>The interface of the tool is made so that the user is taken from the first spreadsheet to the last spreadsheet following a logical order.</w:t>
      </w:r>
    </w:p>
    <w:p w14:paraId="202FC17A" w14:textId="5FD856BB" w:rsidR="001838B8" w:rsidRDefault="00A731EB">
      <w:pPr>
        <w:jc w:val="both"/>
      </w:pPr>
      <w:r>
        <w:t xml:space="preserve">When using </w:t>
      </w:r>
      <w:r w:rsidR="00904219">
        <w:t xml:space="preserve">the </w:t>
      </w:r>
      <w:r>
        <w:t>GACMO</w:t>
      </w:r>
      <w:r w:rsidR="00904219">
        <w:t xml:space="preserve"> tool</w:t>
      </w:r>
      <w:r>
        <w:t xml:space="preserve">, the user should only insert new numbers in the cells highlighted in </w:t>
      </w:r>
      <w:r>
        <w:rPr>
          <w:b/>
          <w:color w:val="FFFF00"/>
        </w:rPr>
        <w:t>yellow</w:t>
      </w:r>
      <w:r>
        <w:t xml:space="preserve">. Some of these cells contain already default values. These values can be modified when the user considers it necessary. </w:t>
      </w:r>
      <w:r>
        <w:rPr>
          <w:color w:val="C55911"/>
        </w:rPr>
        <w:t>When inserting data into the model, it is very important to insert the data as per the unit indicated in the tool for each data.</w:t>
      </w:r>
    </w:p>
    <w:p w14:paraId="202FC17C" w14:textId="77777777" w:rsidR="001838B8" w:rsidRDefault="00A731EB" w:rsidP="0055671A">
      <w:pPr>
        <w:pStyle w:val="Heading2"/>
        <w:rPr>
          <w:color w:val="5B9BD5"/>
          <w:sz w:val="24"/>
          <w:szCs w:val="24"/>
          <w:u w:val="single"/>
        </w:rPr>
      </w:pPr>
      <w:bookmarkStart w:id="7" w:name="_Toc151557926"/>
      <w:r>
        <w:rPr>
          <w:color w:val="5B9BD5"/>
          <w:sz w:val="24"/>
          <w:szCs w:val="24"/>
          <w:u w:val="single"/>
        </w:rPr>
        <w:t>STEP 1 = The Assumptions sheet:</w:t>
      </w:r>
      <w:bookmarkEnd w:id="7"/>
      <w:r>
        <w:rPr>
          <w:color w:val="5B9BD5"/>
          <w:sz w:val="24"/>
          <w:szCs w:val="24"/>
          <w:u w:val="single"/>
        </w:rPr>
        <w:t xml:space="preserve"> </w:t>
      </w:r>
    </w:p>
    <w:p w14:paraId="202FC17D" w14:textId="4664E2E6" w:rsidR="001838B8" w:rsidRDefault="00A731EB">
      <w:pPr>
        <w:jc w:val="both"/>
      </w:pPr>
      <w:r>
        <w:t xml:space="preserve">This spreadsheet includes </w:t>
      </w:r>
      <w:r w:rsidR="002D06DD">
        <w:t>eight</w:t>
      </w:r>
      <w:r>
        <w:t xml:space="preserve"> tables with all the basic country</w:t>
      </w:r>
      <w:r w:rsidR="002B7946">
        <w:t xml:space="preserve"> data, energy prices </w:t>
      </w:r>
      <w:r>
        <w:t xml:space="preserve">and technical data that the GACMO tool needs as inputs for the calculations. </w:t>
      </w:r>
      <w:r>
        <w:rPr>
          <w:color w:val="C55911"/>
        </w:rPr>
        <w:t>This sheet must be filled in by the user.</w:t>
      </w:r>
      <w:r>
        <w:t xml:space="preserve"> </w:t>
      </w:r>
    </w:p>
    <w:p w14:paraId="202FC17E" w14:textId="324603F2" w:rsidR="001838B8" w:rsidRDefault="00A731EB">
      <w:pPr>
        <w:jc w:val="both"/>
      </w:pPr>
      <w:r>
        <w:t xml:space="preserve">All the cells in the </w:t>
      </w:r>
      <w:r w:rsidR="002D06DD">
        <w:t>eight</w:t>
      </w:r>
      <w:r>
        <w:t xml:space="preserve"> tables displayed on the sheet must be considered by the user. Some of these cells may already include default values for some data, but the user </w:t>
      </w:r>
      <w:r w:rsidR="00BC3491">
        <w:t xml:space="preserve">should </w:t>
      </w:r>
      <w:r w:rsidR="004318A1">
        <w:t xml:space="preserve">try to </w:t>
      </w:r>
      <w:r>
        <w:t xml:space="preserve">adjust those values </w:t>
      </w:r>
      <w:r w:rsidR="004318A1">
        <w:t xml:space="preserve">with </w:t>
      </w:r>
      <w:r>
        <w:t>national values. Note that the data inserted on this sheet are transferred automatically by the GACMO tool into the other sheets where they are used for calculations.</w:t>
      </w:r>
    </w:p>
    <w:p w14:paraId="202FC17F" w14:textId="77777777" w:rsidR="001838B8" w:rsidRDefault="00A731EB">
      <w:pPr>
        <w:spacing w:after="160" w:line="259" w:lineRule="auto"/>
      </w:pPr>
      <w:r>
        <w:t>The data to insert in this sheet are:</w:t>
      </w:r>
    </w:p>
    <w:p w14:paraId="202FC180" w14:textId="77777777" w:rsidR="001838B8" w:rsidRDefault="00A731EB">
      <w:pPr>
        <w:spacing w:after="160" w:line="259" w:lineRule="auto"/>
        <w:rPr>
          <w:b/>
        </w:rPr>
      </w:pPr>
      <w:r>
        <w:rPr>
          <w:b/>
        </w:rPr>
        <w:t>First table:</w:t>
      </w:r>
    </w:p>
    <w:p w14:paraId="202FC181" w14:textId="77777777" w:rsidR="001838B8" w:rsidRDefault="00A731EB">
      <w:pPr>
        <w:numPr>
          <w:ilvl w:val="0"/>
          <w:numId w:val="5"/>
        </w:numPr>
        <w:pBdr>
          <w:top w:val="nil"/>
          <w:left w:val="nil"/>
          <w:bottom w:val="nil"/>
          <w:right w:val="nil"/>
          <w:between w:val="nil"/>
        </w:pBdr>
        <w:spacing w:after="0"/>
        <w:jc w:val="both"/>
        <w:rPr>
          <w:color w:val="000000"/>
        </w:rPr>
      </w:pPr>
      <w:r>
        <w:rPr>
          <w:color w:val="C55911"/>
        </w:rPr>
        <w:t xml:space="preserve">Country </w:t>
      </w:r>
      <w:r>
        <w:rPr>
          <w:color w:val="000000"/>
        </w:rPr>
        <w:t xml:space="preserve">= name of the country / geographic region of study </w:t>
      </w:r>
      <w:r>
        <w:rPr>
          <w:color w:val="C55911"/>
        </w:rPr>
        <w:t>(C9)</w:t>
      </w:r>
    </w:p>
    <w:p w14:paraId="202FC182" w14:textId="77777777" w:rsidR="001838B8" w:rsidRDefault="00A731EB">
      <w:pPr>
        <w:numPr>
          <w:ilvl w:val="0"/>
          <w:numId w:val="5"/>
        </w:numPr>
        <w:pBdr>
          <w:top w:val="nil"/>
          <w:left w:val="nil"/>
          <w:bottom w:val="nil"/>
          <w:right w:val="nil"/>
          <w:between w:val="nil"/>
        </w:pBdr>
        <w:spacing w:after="0"/>
        <w:jc w:val="both"/>
        <w:rPr>
          <w:color w:val="000000"/>
        </w:rPr>
      </w:pPr>
      <w:r>
        <w:rPr>
          <w:color w:val="C55911"/>
        </w:rPr>
        <w:t>Start year (latest inventory)</w:t>
      </w:r>
      <w:r>
        <w:rPr>
          <w:color w:val="000000"/>
        </w:rPr>
        <w:t xml:space="preserve"> = the year corresponding to the year of the energy balance which will be used in the "Start year balance" sheet </w:t>
      </w:r>
      <w:r>
        <w:rPr>
          <w:color w:val="C55911"/>
        </w:rPr>
        <w:t>(C10)</w:t>
      </w:r>
    </w:p>
    <w:p w14:paraId="202FC183" w14:textId="77777777" w:rsidR="001838B8" w:rsidRDefault="00A731EB">
      <w:pPr>
        <w:numPr>
          <w:ilvl w:val="0"/>
          <w:numId w:val="5"/>
        </w:numPr>
        <w:pBdr>
          <w:top w:val="nil"/>
          <w:left w:val="nil"/>
          <w:bottom w:val="nil"/>
          <w:right w:val="nil"/>
          <w:between w:val="nil"/>
        </w:pBdr>
        <w:spacing w:after="0"/>
        <w:jc w:val="both"/>
        <w:rPr>
          <w:color w:val="000000"/>
        </w:rPr>
      </w:pPr>
      <w:r>
        <w:rPr>
          <w:color w:val="C55911"/>
        </w:rPr>
        <w:t xml:space="preserve">Currency </w:t>
      </w:r>
      <w:r>
        <w:rPr>
          <w:color w:val="000000"/>
        </w:rPr>
        <w:t xml:space="preserve">= Currency of the country </w:t>
      </w:r>
      <w:r>
        <w:rPr>
          <w:color w:val="C55911"/>
        </w:rPr>
        <w:t>(C11)</w:t>
      </w:r>
    </w:p>
    <w:p w14:paraId="202FC184" w14:textId="554248D6" w:rsidR="001838B8" w:rsidRPr="00003361" w:rsidRDefault="00A731EB" w:rsidP="00003361">
      <w:pPr>
        <w:numPr>
          <w:ilvl w:val="0"/>
          <w:numId w:val="5"/>
        </w:numPr>
        <w:pBdr>
          <w:top w:val="nil"/>
          <w:left w:val="nil"/>
          <w:bottom w:val="nil"/>
          <w:right w:val="nil"/>
          <w:between w:val="nil"/>
        </w:pBdr>
        <w:spacing w:after="0"/>
        <w:ind w:left="714" w:hanging="357"/>
        <w:jc w:val="both"/>
        <w:rPr>
          <w:color w:val="000000"/>
        </w:rPr>
      </w:pPr>
      <w:r>
        <w:rPr>
          <w:color w:val="C55911"/>
        </w:rPr>
        <w:t xml:space="preserve">Exchange rate used (1US$=) </w:t>
      </w:r>
      <w:r>
        <w:rPr>
          <w:color w:val="000000"/>
        </w:rPr>
        <w:t xml:space="preserve">= the exchange rate for the country currency to US$ </w:t>
      </w:r>
      <w:r>
        <w:rPr>
          <w:color w:val="C55911"/>
        </w:rPr>
        <w:t>(C12)</w:t>
      </w:r>
    </w:p>
    <w:p w14:paraId="66EEF5A7" w14:textId="7852F43D" w:rsidR="00003361" w:rsidRDefault="00003361" w:rsidP="00003361">
      <w:pPr>
        <w:numPr>
          <w:ilvl w:val="0"/>
          <w:numId w:val="5"/>
        </w:numPr>
        <w:pBdr>
          <w:top w:val="nil"/>
          <w:left w:val="nil"/>
          <w:bottom w:val="nil"/>
          <w:right w:val="nil"/>
          <w:between w:val="nil"/>
        </w:pBdr>
        <w:ind w:left="714" w:hanging="357"/>
        <w:jc w:val="both"/>
        <w:rPr>
          <w:color w:val="000000"/>
        </w:rPr>
      </w:pPr>
      <w:r>
        <w:rPr>
          <w:color w:val="C55911"/>
        </w:rPr>
        <w:t>Discount rate</w:t>
      </w:r>
      <w:r>
        <w:rPr>
          <w:color w:val="000000"/>
        </w:rPr>
        <w:t xml:space="preserve"> = the interest rate used in discounted cash flow (DCF) analysis to determine the present value of future cash flows </w:t>
      </w:r>
      <w:r>
        <w:rPr>
          <w:color w:val="C55911"/>
        </w:rPr>
        <w:t>(C13)</w:t>
      </w:r>
    </w:p>
    <w:p w14:paraId="202FC185" w14:textId="77777777" w:rsidR="001838B8" w:rsidRDefault="00A731EB">
      <w:pPr>
        <w:spacing w:after="160" w:line="259" w:lineRule="auto"/>
        <w:rPr>
          <w:b/>
        </w:rPr>
      </w:pPr>
      <w:r>
        <w:rPr>
          <w:b/>
        </w:rPr>
        <w:t>Second table:</w:t>
      </w:r>
    </w:p>
    <w:p w14:paraId="202FC187" w14:textId="0D777B35" w:rsidR="001838B8" w:rsidRPr="00003361" w:rsidRDefault="00A731EB" w:rsidP="0064038B">
      <w:pPr>
        <w:numPr>
          <w:ilvl w:val="0"/>
          <w:numId w:val="5"/>
        </w:numPr>
        <w:pBdr>
          <w:top w:val="nil"/>
          <w:left w:val="nil"/>
          <w:bottom w:val="nil"/>
          <w:right w:val="nil"/>
          <w:between w:val="nil"/>
        </w:pBdr>
        <w:ind w:left="714" w:hanging="357"/>
        <w:jc w:val="both"/>
        <w:rPr>
          <w:color w:val="000000"/>
        </w:rPr>
      </w:pPr>
      <w:r w:rsidRPr="00003361">
        <w:rPr>
          <w:color w:val="C55911"/>
        </w:rPr>
        <w:t>Crude oil / LNG / Coal</w:t>
      </w:r>
      <w:r w:rsidRPr="00003361">
        <w:rPr>
          <w:color w:val="000000"/>
        </w:rPr>
        <w:t xml:space="preserve"> = the energy prices for the future period for Crude oil </w:t>
      </w:r>
      <w:r w:rsidRPr="00003361">
        <w:rPr>
          <w:color w:val="C55911"/>
        </w:rPr>
        <w:t>(C17)</w:t>
      </w:r>
      <w:r w:rsidRPr="00003361">
        <w:rPr>
          <w:color w:val="000000"/>
        </w:rPr>
        <w:t xml:space="preserve">, Liquefied Natural Gas </w:t>
      </w:r>
      <w:r w:rsidR="00663C5F">
        <w:rPr>
          <w:color w:val="000000"/>
        </w:rPr>
        <w:t>(</w:t>
      </w:r>
      <w:r w:rsidRPr="00003361">
        <w:rPr>
          <w:color w:val="000000"/>
        </w:rPr>
        <w:t>LNG</w:t>
      </w:r>
      <w:r w:rsidR="00663C5F">
        <w:rPr>
          <w:color w:val="000000"/>
        </w:rPr>
        <w:t>)</w:t>
      </w:r>
      <w:r w:rsidRPr="00003361">
        <w:rPr>
          <w:color w:val="000000"/>
        </w:rPr>
        <w:t xml:space="preserve"> </w:t>
      </w:r>
      <w:r w:rsidRPr="00003361">
        <w:rPr>
          <w:color w:val="C55911"/>
        </w:rPr>
        <w:t>(C19)</w:t>
      </w:r>
      <w:r w:rsidRPr="00003361">
        <w:rPr>
          <w:color w:val="000000"/>
        </w:rPr>
        <w:t xml:space="preserve">, and coal </w:t>
      </w:r>
      <w:r w:rsidRPr="00003361">
        <w:rPr>
          <w:color w:val="C55911"/>
        </w:rPr>
        <w:t>(C21)</w:t>
      </w:r>
      <w:r w:rsidRPr="00003361">
        <w:rPr>
          <w:color w:val="000000"/>
        </w:rPr>
        <w:t>. Note that the units for those data are respectively US$/</w:t>
      </w:r>
      <w:proofErr w:type="spellStart"/>
      <w:r w:rsidRPr="00003361">
        <w:rPr>
          <w:color w:val="000000"/>
        </w:rPr>
        <w:t>bbl</w:t>
      </w:r>
      <w:proofErr w:type="spellEnd"/>
      <w:r w:rsidRPr="00003361">
        <w:rPr>
          <w:color w:val="000000"/>
        </w:rPr>
        <w:t xml:space="preserve">, US$/MBTU, </w:t>
      </w:r>
      <w:r w:rsidRPr="006D4603">
        <w:rPr>
          <w:color w:val="000000"/>
        </w:rPr>
        <w:t>and US$/ton</w:t>
      </w:r>
      <w:r w:rsidR="001C5D72" w:rsidRPr="006D4603">
        <w:rPr>
          <w:color w:val="000000"/>
        </w:rPr>
        <w:t>ne</w:t>
      </w:r>
      <w:r w:rsidRPr="006D4603">
        <w:rPr>
          <w:color w:val="000000"/>
        </w:rPr>
        <w:t>.</w:t>
      </w:r>
      <w:r w:rsidRPr="00003361">
        <w:rPr>
          <w:color w:val="000000"/>
        </w:rPr>
        <w:t xml:space="preserve"> The model use</w:t>
      </w:r>
      <w:r w:rsidR="009D053C">
        <w:rPr>
          <w:color w:val="000000"/>
        </w:rPr>
        <w:t>s</w:t>
      </w:r>
      <w:r w:rsidRPr="00003361">
        <w:rPr>
          <w:color w:val="000000"/>
        </w:rPr>
        <w:t xml:space="preserve"> these as constant fuel prices </w:t>
      </w:r>
      <w:r w:rsidR="005913C3">
        <w:rPr>
          <w:color w:val="000000"/>
        </w:rPr>
        <w:t xml:space="preserve">and </w:t>
      </w:r>
      <w:r w:rsidR="00D67547">
        <w:rPr>
          <w:color w:val="000000"/>
        </w:rPr>
        <w:t xml:space="preserve">as </w:t>
      </w:r>
      <w:r w:rsidRPr="00003361">
        <w:rPr>
          <w:color w:val="000000"/>
        </w:rPr>
        <w:t>estimate</w:t>
      </w:r>
      <w:r w:rsidR="00D67547">
        <w:rPr>
          <w:color w:val="000000"/>
        </w:rPr>
        <w:t>s</w:t>
      </w:r>
      <w:r w:rsidRPr="00003361">
        <w:rPr>
          <w:color w:val="000000"/>
        </w:rPr>
        <w:t xml:space="preserve"> for the </w:t>
      </w:r>
      <w:r w:rsidR="00D67547">
        <w:rPr>
          <w:color w:val="000000"/>
        </w:rPr>
        <w:t xml:space="preserve">inputs in </w:t>
      </w:r>
      <w:r w:rsidRPr="00003361">
        <w:rPr>
          <w:color w:val="000000"/>
        </w:rPr>
        <w:t>future</w:t>
      </w:r>
      <w:r w:rsidR="00D67547">
        <w:rPr>
          <w:color w:val="000000"/>
        </w:rPr>
        <w:t xml:space="preserve"> timesteps</w:t>
      </w:r>
      <w:r w:rsidRPr="00003361">
        <w:rPr>
          <w:color w:val="000000"/>
        </w:rPr>
        <w:t>.</w:t>
      </w:r>
    </w:p>
    <w:p w14:paraId="202FC18A" w14:textId="34A646A8" w:rsidR="001838B8" w:rsidRDefault="00A731EB">
      <w:pPr>
        <w:jc w:val="both"/>
        <w:rPr>
          <w:b/>
        </w:rPr>
      </w:pPr>
      <w:r>
        <w:rPr>
          <w:b/>
        </w:rPr>
        <w:t>Third table:</w:t>
      </w:r>
    </w:p>
    <w:p w14:paraId="202FC18B" w14:textId="5A0A4EFE" w:rsidR="001838B8" w:rsidRDefault="00A731EB">
      <w:pPr>
        <w:numPr>
          <w:ilvl w:val="0"/>
          <w:numId w:val="5"/>
        </w:numPr>
        <w:pBdr>
          <w:top w:val="nil"/>
          <w:left w:val="nil"/>
          <w:bottom w:val="nil"/>
          <w:right w:val="nil"/>
          <w:between w:val="nil"/>
        </w:pBdr>
        <w:spacing w:after="0"/>
        <w:jc w:val="both"/>
        <w:rPr>
          <w:color w:val="C55911"/>
        </w:rPr>
      </w:pPr>
      <w:r>
        <w:rPr>
          <w:color w:val="C55911"/>
        </w:rPr>
        <w:t xml:space="preserve">Distillate price/crude oil price (litre/litre) </w:t>
      </w:r>
      <w:r>
        <w:rPr>
          <w:color w:val="000000"/>
        </w:rPr>
        <w:t xml:space="preserve">= the ratio between the price of the distillate product and the price of the crude oil </w:t>
      </w:r>
      <w:r>
        <w:rPr>
          <w:color w:val="C55911"/>
        </w:rPr>
        <w:t>(C27 to J27)</w:t>
      </w:r>
      <w:r>
        <w:rPr>
          <w:color w:val="000000"/>
        </w:rPr>
        <w:t xml:space="preserve">. Data should be inserted for the fossil fuels </w:t>
      </w:r>
      <w:r w:rsidR="00CC4E34">
        <w:rPr>
          <w:color w:val="000000"/>
        </w:rPr>
        <w:t xml:space="preserve">that </w:t>
      </w:r>
      <w:r>
        <w:rPr>
          <w:color w:val="000000"/>
        </w:rPr>
        <w:t xml:space="preserve">are part of the energy mix of the country. Note that </w:t>
      </w:r>
      <w:r w:rsidR="00904219">
        <w:rPr>
          <w:color w:val="000000"/>
        </w:rPr>
        <w:t xml:space="preserve">the </w:t>
      </w:r>
      <w:r>
        <w:rPr>
          <w:color w:val="000000"/>
        </w:rPr>
        <w:t>GACMO</w:t>
      </w:r>
      <w:r w:rsidR="00904219">
        <w:rPr>
          <w:color w:val="000000"/>
        </w:rPr>
        <w:t xml:space="preserve"> tool</w:t>
      </w:r>
      <w:r>
        <w:rPr>
          <w:color w:val="000000"/>
        </w:rPr>
        <w:t xml:space="preserve"> includes default values for those data, but the user </w:t>
      </w:r>
      <w:r w:rsidR="003F30A7">
        <w:rPr>
          <w:color w:val="000000"/>
        </w:rPr>
        <w:t>should</w:t>
      </w:r>
      <w:r>
        <w:rPr>
          <w:color w:val="000000"/>
        </w:rPr>
        <w:t xml:space="preserve"> adjust</w:t>
      </w:r>
      <w:r w:rsidR="003F30A7">
        <w:rPr>
          <w:color w:val="000000"/>
        </w:rPr>
        <w:t xml:space="preserve"> them</w:t>
      </w:r>
      <w:r>
        <w:rPr>
          <w:color w:val="000000"/>
        </w:rPr>
        <w:t xml:space="preserve"> </w:t>
      </w:r>
      <w:r w:rsidR="00771B9F">
        <w:rPr>
          <w:color w:val="000000"/>
        </w:rPr>
        <w:t xml:space="preserve">with </w:t>
      </w:r>
      <w:r w:rsidR="003F30A7">
        <w:rPr>
          <w:color w:val="000000"/>
        </w:rPr>
        <w:t>country-specific data</w:t>
      </w:r>
      <w:r>
        <w:rPr>
          <w:color w:val="000000"/>
        </w:rPr>
        <w:t>.</w:t>
      </w:r>
    </w:p>
    <w:p w14:paraId="202FC18C" w14:textId="588543C8" w:rsidR="001838B8" w:rsidRDefault="00A731EB">
      <w:pPr>
        <w:numPr>
          <w:ilvl w:val="0"/>
          <w:numId w:val="5"/>
        </w:numPr>
        <w:pBdr>
          <w:top w:val="nil"/>
          <w:left w:val="nil"/>
          <w:bottom w:val="nil"/>
          <w:right w:val="nil"/>
          <w:between w:val="nil"/>
        </w:pBdr>
        <w:spacing w:after="0"/>
        <w:jc w:val="both"/>
        <w:rPr>
          <w:color w:val="C55911"/>
        </w:rPr>
      </w:pPr>
      <w:r>
        <w:rPr>
          <w:color w:val="C55911"/>
        </w:rPr>
        <w:lastRenderedPageBreak/>
        <w:t xml:space="preserve">t/m3 </w:t>
      </w:r>
      <w:r>
        <w:rPr>
          <w:color w:val="000000"/>
        </w:rPr>
        <w:t xml:space="preserve">= density of the fossil fuels </w:t>
      </w:r>
      <w:r>
        <w:rPr>
          <w:color w:val="C55911"/>
        </w:rPr>
        <w:t>(C30 to J30)</w:t>
      </w:r>
      <w:r>
        <w:rPr>
          <w:color w:val="000000"/>
        </w:rPr>
        <w:t xml:space="preserve">. Data should be inserted for the fossil fuels </w:t>
      </w:r>
      <w:r w:rsidR="00CC4E34">
        <w:rPr>
          <w:color w:val="000000"/>
        </w:rPr>
        <w:t xml:space="preserve">that </w:t>
      </w:r>
      <w:r>
        <w:rPr>
          <w:color w:val="000000"/>
        </w:rPr>
        <w:t xml:space="preserve">are part of the energy mix of the country considered. Note that </w:t>
      </w:r>
      <w:r w:rsidR="00904219">
        <w:rPr>
          <w:color w:val="000000"/>
        </w:rPr>
        <w:t xml:space="preserve">the </w:t>
      </w:r>
      <w:r>
        <w:rPr>
          <w:color w:val="000000"/>
        </w:rPr>
        <w:t>GACMO</w:t>
      </w:r>
      <w:r w:rsidR="00904219">
        <w:rPr>
          <w:color w:val="000000"/>
        </w:rPr>
        <w:t xml:space="preserve"> tool</w:t>
      </w:r>
      <w:r>
        <w:rPr>
          <w:color w:val="000000"/>
        </w:rPr>
        <w:t xml:space="preserve"> includes default values for </w:t>
      </w:r>
      <w:r w:rsidR="00025776">
        <w:rPr>
          <w:color w:val="000000"/>
        </w:rPr>
        <w:t>density of fossil fuels</w:t>
      </w:r>
      <w:r>
        <w:rPr>
          <w:color w:val="000000"/>
        </w:rPr>
        <w:t>.</w:t>
      </w:r>
    </w:p>
    <w:p w14:paraId="202FC18D" w14:textId="0B8643E0" w:rsidR="001838B8" w:rsidRDefault="00A731EB">
      <w:pPr>
        <w:numPr>
          <w:ilvl w:val="0"/>
          <w:numId w:val="5"/>
        </w:numPr>
        <w:pBdr>
          <w:top w:val="nil"/>
          <w:left w:val="nil"/>
          <w:bottom w:val="nil"/>
          <w:right w:val="nil"/>
          <w:between w:val="nil"/>
        </w:pBdr>
        <w:jc w:val="both"/>
        <w:rPr>
          <w:color w:val="000000"/>
        </w:rPr>
      </w:pPr>
      <w:r>
        <w:rPr>
          <w:color w:val="C55911"/>
        </w:rPr>
        <w:t xml:space="preserve">GJ/t </w:t>
      </w:r>
      <w:r>
        <w:rPr>
          <w:color w:val="000000"/>
        </w:rPr>
        <w:t xml:space="preserve">= energy content of the fossil fuels </w:t>
      </w:r>
      <w:r>
        <w:rPr>
          <w:color w:val="C55911"/>
        </w:rPr>
        <w:t>(C31 to O31).</w:t>
      </w:r>
      <w:r>
        <w:rPr>
          <w:color w:val="000000"/>
        </w:rPr>
        <w:t xml:space="preserve"> Data should be inserted for the fossil fuels </w:t>
      </w:r>
      <w:r w:rsidR="00CC4E34">
        <w:rPr>
          <w:color w:val="000000"/>
        </w:rPr>
        <w:t xml:space="preserve">that </w:t>
      </w:r>
      <w:r>
        <w:rPr>
          <w:color w:val="000000"/>
        </w:rPr>
        <w:t xml:space="preserve">are part of the energy mix of the country. Note that </w:t>
      </w:r>
      <w:r w:rsidR="00904219">
        <w:rPr>
          <w:color w:val="000000"/>
        </w:rPr>
        <w:t xml:space="preserve">the </w:t>
      </w:r>
      <w:r>
        <w:rPr>
          <w:color w:val="000000"/>
        </w:rPr>
        <w:t>GACMO</w:t>
      </w:r>
      <w:r w:rsidR="00904219">
        <w:rPr>
          <w:color w:val="000000"/>
        </w:rPr>
        <w:t xml:space="preserve"> tool</w:t>
      </w:r>
      <w:r>
        <w:rPr>
          <w:color w:val="000000"/>
        </w:rPr>
        <w:t xml:space="preserve"> includes default values for those data, but the user can adjust them if it is considered necessary.</w:t>
      </w:r>
    </w:p>
    <w:p w14:paraId="202FC18E" w14:textId="77777777" w:rsidR="001838B8" w:rsidRDefault="00A731EB">
      <w:pPr>
        <w:jc w:val="both"/>
        <w:rPr>
          <w:b/>
        </w:rPr>
      </w:pPr>
      <w:r>
        <w:rPr>
          <w:b/>
        </w:rPr>
        <w:t>Fourth Table:</w:t>
      </w:r>
    </w:p>
    <w:p w14:paraId="202FC18F" w14:textId="77777777" w:rsidR="001838B8" w:rsidRPr="00C13C3C" w:rsidRDefault="00A731EB">
      <w:pPr>
        <w:numPr>
          <w:ilvl w:val="0"/>
          <w:numId w:val="5"/>
        </w:numPr>
        <w:pBdr>
          <w:top w:val="nil"/>
          <w:left w:val="nil"/>
          <w:bottom w:val="nil"/>
          <w:right w:val="nil"/>
          <w:between w:val="nil"/>
        </w:pBdr>
        <w:spacing w:after="0"/>
        <w:jc w:val="both"/>
        <w:rPr>
          <w:color w:val="000000"/>
        </w:rPr>
      </w:pPr>
      <w:r>
        <w:rPr>
          <w:color w:val="C55911"/>
        </w:rPr>
        <w:t>US$/kWh</w:t>
      </w:r>
      <w:r>
        <w:rPr>
          <w:color w:val="000000"/>
        </w:rPr>
        <w:t xml:space="preserve"> = current electricity price without taxes and subsidies </w:t>
      </w:r>
      <w:r>
        <w:rPr>
          <w:color w:val="C55911"/>
        </w:rPr>
        <w:t>(D35)</w:t>
      </w:r>
    </w:p>
    <w:p w14:paraId="3850B9F2" w14:textId="77777777" w:rsidR="00C13C3C" w:rsidRDefault="00C13C3C" w:rsidP="00C13C3C">
      <w:pPr>
        <w:pBdr>
          <w:top w:val="nil"/>
          <w:left w:val="nil"/>
          <w:bottom w:val="nil"/>
          <w:right w:val="nil"/>
          <w:between w:val="nil"/>
        </w:pBdr>
        <w:spacing w:after="0"/>
        <w:jc w:val="both"/>
        <w:rPr>
          <w:color w:val="C55911"/>
        </w:rPr>
      </w:pPr>
    </w:p>
    <w:p w14:paraId="1AF570D1" w14:textId="7505BFFA" w:rsidR="00C13C3C" w:rsidRPr="00C13C3C" w:rsidRDefault="00C13C3C" w:rsidP="00C13C3C">
      <w:pPr>
        <w:jc w:val="both"/>
        <w:rPr>
          <w:b/>
        </w:rPr>
      </w:pPr>
      <w:r w:rsidRPr="00C13C3C">
        <w:rPr>
          <w:b/>
        </w:rPr>
        <w:t>Fifth Table</w:t>
      </w:r>
    </w:p>
    <w:p w14:paraId="6C639CF7" w14:textId="38E37AC3" w:rsidR="00B93E80" w:rsidRDefault="00D30043" w:rsidP="00604C64">
      <w:pPr>
        <w:numPr>
          <w:ilvl w:val="0"/>
          <w:numId w:val="5"/>
        </w:numPr>
        <w:pBdr>
          <w:top w:val="nil"/>
          <w:left w:val="nil"/>
          <w:bottom w:val="nil"/>
          <w:right w:val="nil"/>
          <w:between w:val="nil"/>
        </w:pBdr>
        <w:spacing w:after="0"/>
        <w:jc w:val="both"/>
      </w:pPr>
      <w:r w:rsidRPr="00D92E3A">
        <w:rPr>
          <w:color w:val="C55911"/>
        </w:rPr>
        <w:t>Average g</w:t>
      </w:r>
      <w:r w:rsidR="00A731EB" w:rsidRPr="00D92E3A">
        <w:rPr>
          <w:color w:val="C55911"/>
        </w:rPr>
        <w:t>rid emission factor</w:t>
      </w:r>
      <w:r w:rsidR="00A731EB" w:rsidRPr="00604C64">
        <w:rPr>
          <w:color w:val="000000"/>
        </w:rPr>
        <w:t xml:space="preserve"> </w:t>
      </w:r>
      <w:r w:rsidR="00D92E3A" w:rsidRPr="00D92E3A">
        <w:t>=</w:t>
      </w:r>
      <w:r w:rsidR="00CF2BD8" w:rsidRPr="00604C64">
        <w:rPr>
          <w:color w:val="C55911"/>
        </w:rPr>
        <w:t xml:space="preserve"> </w:t>
      </w:r>
      <w:r w:rsidR="00886A4F" w:rsidRPr="00D92E3A">
        <w:t>Grid emission factor used by GACMO in the technology sheets</w:t>
      </w:r>
      <w:r w:rsidR="00B55923">
        <w:t xml:space="preserve"> </w:t>
      </w:r>
      <w:r w:rsidR="00B55923" w:rsidRPr="00011147">
        <w:t>to estimate</w:t>
      </w:r>
      <w:r w:rsidR="005431A3">
        <w:t xml:space="preserve"> the</w:t>
      </w:r>
      <w:r w:rsidR="00B55923" w:rsidRPr="00011147">
        <w:t xml:space="preserve"> </w:t>
      </w:r>
      <w:r w:rsidR="00B55923" w:rsidRPr="00F304FB">
        <w:t>emissions for</w:t>
      </w:r>
      <w:r w:rsidR="00B55923" w:rsidRPr="00011147">
        <w:t xml:space="preserve"> the reference option</w:t>
      </w:r>
      <w:r w:rsidR="00B94315">
        <w:t xml:space="preserve"> (with no mitigation option in place)</w:t>
      </w:r>
      <w:r w:rsidR="00222217" w:rsidRPr="00222217">
        <w:rPr>
          <w:color w:val="C55911"/>
        </w:rPr>
        <w:t xml:space="preserve"> </w:t>
      </w:r>
      <w:r w:rsidR="00222217" w:rsidRPr="00604C64">
        <w:rPr>
          <w:color w:val="C55911"/>
        </w:rPr>
        <w:t>(D39)</w:t>
      </w:r>
      <w:r w:rsidR="00886A4F" w:rsidRPr="00D92E3A">
        <w:t xml:space="preserve"> </w:t>
      </w:r>
    </w:p>
    <w:p w14:paraId="4FE6D712" w14:textId="68E77093" w:rsidR="00604C64" w:rsidRDefault="00CF2BD8" w:rsidP="00B93E80">
      <w:pPr>
        <w:numPr>
          <w:ilvl w:val="1"/>
          <w:numId w:val="5"/>
        </w:numPr>
        <w:pBdr>
          <w:top w:val="nil"/>
          <w:left w:val="nil"/>
          <w:bottom w:val="nil"/>
          <w:right w:val="nil"/>
          <w:between w:val="nil"/>
        </w:pBdr>
        <w:spacing w:after="0"/>
        <w:jc w:val="both"/>
      </w:pPr>
      <w:r w:rsidRPr="00D92E3A">
        <w:t xml:space="preserve">For </w:t>
      </w:r>
      <w:r w:rsidR="009A23D2">
        <w:t>the use of the GACMO tool at the national scale</w:t>
      </w:r>
      <w:r w:rsidRPr="00D92E3A">
        <w:t xml:space="preserve">, </w:t>
      </w:r>
      <w:r w:rsidR="00B55923">
        <w:t xml:space="preserve">the user specifies </w:t>
      </w:r>
      <w:r w:rsidR="009A23D2">
        <w:t xml:space="preserve">the </w:t>
      </w:r>
      <w:r w:rsidRPr="00D92E3A">
        <w:t>national average grid emission factor.</w:t>
      </w:r>
      <w:r w:rsidR="00604C64">
        <w:t xml:space="preserve"> </w:t>
      </w:r>
    </w:p>
    <w:p w14:paraId="38999F1A" w14:textId="2C277C00" w:rsidR="00604C64" w:rsidRDefault="00B55923" w:rsidP="00604C64">
      <w:pPr>
        <w:numPr>
          <w:ilvl w:val="1"/>
          <w:numId w:val="5"/>
        </w:numPr>
        <w:pBdr>
          <w:top w:val="nil"/>
          <w:left w:val="nil"/>
          <w:bottom w:val="nil"/>
          <w:right w:val="nil"/>
          <w:between w:val="nil"/>
        </w:pBdr>
        <w:spacing w:after="0"/>
        <w:jc w:val="both"/>
      </w:pPr>
      <w:r w:rsidRPr="00011147">
        <w:t xml:space="preserve">In the case </w:t>
      </w:r>
      <w:r w:rsidR="00240A3A">
        <w:t>that</w:t>
      </w:r>
      <w:r w:rsidRPr="00011147">
        <w:t xml:space="preserve"> the geographical location of the mitigation option</w:t>
      </w:r>
      <w:r>
        <w:t xml:space="preserve"> is known,</w:t>
      </w:r>
      <w:r w:rsidRPr="00011147">
        <w:t xml:space="preserve"> </w:t>
      </w:r>
      <w:r>
        <w:t>it is recommended to</w:t>
      </w:r>
      <w:r w:rsidRPr="00011147">
        <w:t xml:space="preserve"> specify </w:t>
      </w:r>
      <w:r>
        <w:t>local</w:t>
      </w:r>
      <w:r w:rsidRPr="00011147">
        <w:t xml:space="preserve"> grid emission factor for th</w:t>
      </w:r>
      <w:r>
        <w:t>is</w:t>
      </w:r>
      <w:r w:rsidRPr="00011147">
        <w:t xml:space="preserve"> mitigation option</w:t>
      </w:r>
      <w:r>
        <w:t>.</w:t>
      </w:r>
      <w:r w:rsidR="009A23D2">
        <w:t xml:space="preserve"> The u</w:t>
      </w:r>
      <w:r w:rsidRPr="00011147">
        <w:t xml:space="preserve">ser </w:t>
      </w:r>
      <w:r>
        <w:t xml:space="preserve">can </w:t>
      </w:r>
      <w:r w:rsidR="00113307">
        <w:t>indicate the</w:t>
      </w:r>
      <w:r w:rsidR="00240A3A">
        <w:t xml:space="preserve"> corresponding</w:t>
      </w:r>
      <w:r w:rsidRPr="00011147">
        <w:t xml:space="preserve"> grid emissions factor value in the respective technology sheet.</w:t>
      </w:r>
      <w:r w:rsidR="00604C64">
        <w:t xml:space="preserve"> </w:t>
      </w:r>
    </w:p>
    <w:p w14:paraId="7AFCEE7F" w14:textId="6D894276" w:rsidR="00332EA8" w:rsidRPr="00D92E3A" w:rsidRDefault="00CF2BD8" w:rsidP="00604C64">
      <w:pPr>
        <w:numPr>
          <w:ilvl w:val="1"/>
          <w:numId w:val="5"/>
        </w:numPr>
        <w:pBdr>
          <w:top w:val="nil"/>
          <w:left w:val="nil"/>
          <w:bottom w:val="nil"/>
          <w:right w:val="nil"/>
          <w:between w:val="nil"/>
        </w:pBdr>
        <w:spacing w:after="0"/>
        <w:jc w:val="both"/>
      </w:pPr>
      <w:r w:rsidRPr="00D92E3A">
        <w:t xml:space="preserve">For the </w:t>
      </w:r>
      <w:r w:rsidR="00222217">
        <w:t xml:space="preserve">use of the GACMO tool at the </w:t>
      </w:r>
      <w:r w:rsidRPr="00D92E3A">
        <w:t>city or state level,</w:t>
      </w:r>
      <w:r w:rsidR="00222217">
        <w:t xml:space="preserve"> the</w:t>
      </w:r>
      <w:r w:rsidRPr="00D92E3A">
        <w:t xml:space="preserve"> </w:t>
      </w:r>
      <w:r w:rsidR="009A23D2">
        <w:t>local-specific</w:t>
      </w:r>
      <w:r w:rsidRPr="00D92E3A">
        <w:t xml:space="preserve"> </w:t>
      </w:r>
      <w:r w:rsidR="000834D2">
        <w:t xml:space="preserve">grid </w:t>
      </w:r>
      <w:r w:rsidRPr="00D92E3A">
        <w:t xml:space="preserve">emission factor </w:t>
      </w:r>
      <w:r w:rsidR="00886A4F" w:rsidRPr="00D92E3A">
        <w:t>must</w:t>
      </w:r>
      <w:r w:rsidRPr="00D92E3A">
        <w:t xml:space="preserve"> be used.</w:t>
      </w:r>
      <w:r w:rsidR="00B55923">
        <w:t xml:space="preserve"> </w:t>
      </w:r>
    </w:p>
    <w:p w14:paraId="202FC191" w14:textId="73BBFAF7" w:rsidR="001838B8" w:rsidRDefault="00A731EB">
      <w:pPr>
        <w:numPr>
          <w:ilvl w:val="0"/>
          <w:numId w:val="5"/>
        </w:numPr>
        <w:pBdr>
          <w:top w:val="nil"/>
          <w:left w:val="nil"/>
          <w:bottom w:val="nil"/>
          <w:right w:val="nil"/>
          <w:between w:val="nil"/>
        </w:pBdr>
        <w:jc w:val="both"/>
        <w:rPr>
          <w:color w:val="000000"/>
        </w:rPr>
      </w:pPr>
      <w:r>
        <w:rPr>
          <w:color w:val="C55911"/>
        </w:rPr>
        <w:t>Electricity grid losses &amp; own consumption</w:t>
      </w:r>
      <w:r>
        <w:rPr>
          <w:color w:val="000000"/>
        </w:rPr>
        <w:t xml:space="preserve"> = percentage of electricity grid losses </w:t>
      </w:r>
      <w:r>
        <w:rPr>
          <w:color w:val="C55911"/>
        </w:rPr>
        <w:t>(D40)</w:t>
      </w:r>
      <w:r w:rsidR="00572764">
        <w:t xml:space="preserve">. Note that this value will be imported </w:t>
      </w:r>
      <w:r w:rsidR="00F6144B">
        <w:t xml:space="preserve">automatically by the GACMO tool </w:t>
      </w:r>
      <w:r w:rsidR="00572764">
        <w:t>from the</w:t>
      </w:r>
      <w:r w:rsidR="004B50B3" w:rsidRPr="004B50B3">
        <w:t xml:space="preserve"> Energy Balance sheet</w:t>
      </w:r>
      <w:r w:rsidR="002638DC">
        <w:t xml:space="preserve"> (Step 2).</w:t>
      </w:r>
    </w:p>
    <w:p w14:paraId="202FC192" w14:textId="4BD0B777" w:rsidR="001838B8" w:rsidRDefault="00C13C3C">
      <w:pPr>
        <w:jc w:val="both"/>
        <w:rPr>
          <w:b/>
        </w:rPr>
      </w:pPr>
      <w:r>
        <w:rPr>
          <w:b/>
        </w:rPr>
        <w:t>Sixth</w:t>
      </w:r>
      <w:r w:rsidR="00A731EB">
        <w:rPr>
          <w:b/>
        </w:rPr>
        <w:t xml:space="preserve"> Table:</w:t>
      </w:r>
    </w:p>
    <w:p w14:paraId="202FC193" w14:textId="6CF4624D" w:rsidR="001838B8" w:rsidRDefault="00A731EB">
      <w:pPr>
        <w:numPr>
          <w:ilvl w:val="0"/>
          <w:numId w:val="5"/>
        </w:numPr>
        <w:pBdr>
          <w:top w:val="nil"/>
          <w:left w:val="nil"/>
          <w:bottom w:val="nil"/>
          <w:right w:val="nil"/>
          <w:between w:val="nil"/>
        </w:pBdr>
        <w:spacing w:after="0"/>
        <w:jc w:val="both"/>
        <w:rPr>
          <w:color w:val="000000"/>
        </w:rPr>
      </w:pPr>
      <w:r>
        <w:rPr>
          <w:color w:val="C55911"/>
        </w:rPr>
        <w:t>Sector-specific Emission factors (kg GHG/GJ) for CO</w:t>
      </w:r>
      <w:r w:rsidRPr="009A23D2">
        <w:rPr>
          <w:color w:val="C55911"/>
          <w:vertAlign w:val="subscript"/>
        </w:rPr>
        <w:t>2</w:t>
      </w:r>
      <w:r>
        <w:rPr>
          <w:color w:val="000000"/>
        </w:rPr>
        <w:t xml:space="preserve"> = emission factors of the different fossil fuels used in the energy mix of the country </w:t>
      </w:r>
      <w:r>
        <w:rPr>
          <w:color w:val="C55911"/>
        </w:rPr>
        <w:t>(D45 to D53)</w:t>
      </w:r>
      <w:r>
        <w:rPr>
          <w:color w:val="000000"/>
        </w:rPr>
        <w:t xml:space="preserve">. Note that </w:t>
      </w:r>
      <w:r w:rsidR="00904219">
        <w:rPr>
          <w:color w:val="000000"/>
        </w:rPr>
        <w:t xml:space="preserve">the </w:t>
      </w:r>
      <w:r>
        <w:rPr>
          <w:color w:val="000000"/>
        </w:rPr>
        <w:t>GACMO</w:t>
      </w:r>
      <w:r w:rsidR="00904219">
        <w:rPr>
          <w:color w:val="000000"/>
        </w:rPr>
        <w:t xml:space="preserve"> tool</w:t>
      </w:r>
      <w:r>
        <w:rPr>
          <w:color w:val="000000"/>
        </w:rPr>
        <w:t xml:space="preserve"> already includes default values based on the IPCC methodologies. The user can</w:t>
      </w:r>
      <w:r w:rsidR="000B7BD2">
        <w:rPr>
          <w:color w:val="000000"/>
        </w:rPr>
        <w:t>,</w:t>
      </w:r>
      <w:r>
        <w:rPr>
          <w:color w:val="000000"/>
        </w:rPr>
        <w:t xml:space="preserve"> however</w:t>
      </w:r>
      <w:r w:rsidR="000B7BD2">
        <w:rPr>
          <w:color w:val="000000"/>
        </w:rPr>
        <w:t>,</w:t>
      </w:r>
      <w:r>
        <w:rPr>
          <w:color w:val="000000"/>
        </w:rPr>
        <w:t xml:space="preserve"> modify these values if </w:t>
      </w:r>
      <w:r w:rsidR="00AC54A2">
        <w:rPr>
          <w:color w:val="000000"/>
        </w:rPr>
        <w:t>country-specific emission factors are available</w:t>
      </w:r>
      <w:r>
        <w:rPr>
          <w:color w:val="000000"/>
        </w:rPr>
        <w:t>.</w:t>
      </w:r>
    </w:p>
    <w:p w14:paraId="202FC194" w14:textId="41119AD7" w:rsidR="001838B8" w:rsidRDefault="00A731EB">
      <w:pPr>
        <w:numPr>
          <w:ilvl w:val="0"/>
          <w:numId w:val="5"/>
        </w:numPr>
        <w:pBdr>
          <w:top w:val="nil"/>
          <w:left w:val="nil"/>
          <w:bottom w:val="nil"/>
          <w:right w:val="nil"/>
          <w:between w:val="nil"/>
        </w:pBdr>
        <w:jc w:val="both"/>
        <w:rPr>
          <w:color w:val="000000"/>
        </w:rPr>
      </w:pPr>
      <w:r>
        <w:rPr>
          <w:color w:val="C55911"/>
        </w:rPr>
        <w:t>Sector-specific Emission factors (kg GHG/GJ) for CH</w:t>
      </w:r>
      <w:r w:rsidRPr="009205A3">
        <w:rPr>
          <w:color w:val="C55911"/>
          <w:vertAlign w:val="subscript"/>
        </w:rPr>
        <w:t>4</w:t>
      </w:r>
      <w:r>
        <w:rPr>
          <w:color w:val="C55911"/>
        </w:rPr>
        <w:t xml:space="preserve"> and N</w:t>
      </w:r>
      <w:r w:rsidRPr="00686327">
        <w:rPr>
          <w:color w:val="C55911"/>
          <w:vertAlign w:val="subscript"/>
        </w:rPr>
        <w:t>2</w:t>
      </w:r>
      <w:r>
        <w:rPr>
          <w:color w:val="C55911"/>
        </w:rPr>
        <w:t>O</w:t>
      </w:r>
      <w:r>
        <w:rPr>
          <w:color w:val="000000"/>
        </w:rPr>
        <w:t xml:space="preserve"> = The emission factors for CH</w:t>
      </w:r>
      <w:r w:rsidRPr="009A23D2">
        <w:rPr>
          <w:color w:val="000000"/>
          <w:vertAlign w:val="subscript"/>
        </w:rPr>
        <w:t>4</w:t>
      </w:r>
      <w:r>
        <w:rPr>
          <w:color w:val="000000"/>
        </w:rPr>
        <w:t xml:space="preserve"> (methane) and N</w:t>
      </w:r>
      <w:r w:rsidRPr="009A23D2">
        <w:rPr>
          <w:color w:val="000000"/>
          <w:vertAlign w:val="subscript"/>
        </w:rPr>
        <w:t>2</w:t>
      </w:r>
      <w:r>
        <w:rPr>
          <w:color w:val="000000"/>
        </w:rPr>
        <w:t>O (nitrous oxide). Note that</w:t>
      </w:r>
      <w:r w:rsidR="00904219">
        <w:rPr>
          <w:color w:val="000000"/>
        </w:rPr>
        <w:t xml:space="preserve"> the</w:t>
      </w:r>
      <w:r>
        <w:rPr>
          <w:color w:val="000000"/>
        </w:rPr>
        <w:t xml:space="preserve"> GACMO </w:t>
      </w:r>
      <w:r w:rsidR="00904219">
        <w:rPr>
          <w:color w:val="000000"/>
        </w:rPr>
        <w:t xml:space="preserve">tool </w:t>
      </w:r>
      <w:r>
        <w:rPr>
          <w:color w:val="000000"/>
        </w:rPr>
        <w:t>already includes default values based on the IPCC methodologies</w:t>
      </w:r>
      <w:r w:rsidR="00F51288">
        <w:rPr>
          <w:color w:val="000000"/>
        </w:rPr>
        <w:t xml:space="preserve"> (AR5)</w:t>
      </w:r>
      <w:r>
        <w:rPr>
          <w:color w:val="000000"/>
        </w:rPr>
        <w:t xml:space="preserve">.  </w:t>
      </w:r>
      <w:r w:rsidR="00904219">
        <w:rPr>
          <w:color w:val="000000"/>
        </w:rPr>
        <w:t>The tool</w:t>
      </w:r>
      <w:r>
        <w:rPr>
          <w:color w:val="000000"/>
        </w:rPr>
        <w:t xml:space="preserve"> will convert these CH</w:t>
      </w:r>
      <w:r w:rsidRPr="009A23D2">
        <w:rPr>
          <w:color w:val="000000"/>
          <w:vertAlign w:val="subscript"/>
        </w:rPr>
        <w:t>4</w:t>
      </w:r>
      <w:r>
        <w:rPr>
          <w:color w:val="000000"/>
        </w:rPr>
        <w:t xml:space="preserve"> and N</w:t>
      </w:r>
      <w:r w:rsidRPr="009A23D2">
        <w:rPr>
          <w:color w:val="000000"/>
          <w:vertAlign w:val="subscript"/>
        </w:rPr>
        <w:t>2</w:t>
      </w:r>
      <w:r>
        <w:rPr>
          <w:color w:val="000000"/>
        </w:rPr>
        <w:t>O values into CO</w:t>
      </w:r>
      <w:r w:rsidRPr="009A23D2">
        <w:rPr>
          <w:color w:val="000000"/>
          <w:vertAlign w:val="subscript"/>
        </w:rPr>
        <w:t>2</w:t>
      </w:r>
      <w:r>
        <w:rPr>
          <w:color w:val="000000"/>
        </w:rPr>
        <w:t xml:space="preserve"> equivalent by using the Global Warming Potential (GWP) for these gases mentioned in the table below.</w:t>
      </w:r>
    </w:p>
    <w:p w14:paraId="202FC195" w14:textId="47171980" w:rsidR="001838B8" w:rsidRDefault="00C13C3C">
      <w:pPr>
        <w:jc w:val="both"/>
        <w:rPr>
          <w:b/>
        </w:rPr>
      </w:pPr>
      <w:r>
        <w:rPr>
          <w:b/>
        </w:rPr>
        <w:t>Seventh</w:t>
      </w:r>
      <w:r w:rsidR="00A731EB">
        <w:rPr>
          <w:b/>
        </w:rPr>
        <w:t xml:space="preserve"> Table:</w:t>
      </w:r>
    </w:p>
    <w:p w14:paraId="202FC196" w14:textId="74E68F4A" w:rsidR="001838B8" w:rsidRDefault="00A731EB">
      <w:pPr>
        <w:numPr>
          <w:ilvl w:val="0"/>
          <w:numId w:val="5"/>
        </w:numPr>
        <w:pBdr>
          <w:top w:val="nil"/>
          <w:left w:val="nil"/>
          <w:bottom w:val="nil"/>
          <w:right w:val="nil"/>
          <w:between w:val="nil"/>
        </w:pBdr>
        <w:jc w:val="both"/>
        <w:rPr>
          <w:color w:val="000000"/>
        </w:rPr>
      </w:pPr>
      <w:r>
        <w:rPr>
          <w:color w:val="C55911"/>
        </w:rPr>
        <w:t>Global warming potentials</w:t>
      </w:r>
      <w:r>
        <w:rPr>
          <w:color w:val="000000"/>
        </w:rPr>
        <w:t xml:space="preserve"> = GWP for CH</w:t>
      </w:r>
      <w:r w:rsidRPr="009A23D2">
        <w:rPr>
          <w:color w:val="000000"/>
          <w:vertAlign w:val="subscript"/>
        </w:rPr>
        <w:t>4</w:t>
      </w:r>
      <w:r>
        <w:rPr>
          <w:color w:val="000000"/>
        </w:rPr>
        <w:t xml:space="preserve"> </w:t>
      </w:r>
      <w:r>
        <w:rPr>
          <w:color w:val="C55911"/>
        </w:rPr>
        <w:t>(F64)</w:t>
      </w:r>
      <w:r>
        <w:rPr>
          <w:color w:val="000000"/>
        </w:rPr>
        <w:t xml:space="preserve"> and N</w:t>
      </w:r>
      <w:r w:rsidRPr="009A23D2">
        <w:rPr>
          <w:color w:val="000000"/>
          <w:vertAlign w:val="subscript"/>
        </w:rPr>
        <w:t>2</w:t>
      </w:r>
      <w:r>
        <w:rPr>
          <w:color w:val="000000"/>
        </w:rPr>
        <w:t xml:space="preserve">O </w:t>
      </w:r>
      <w:r>
        <w:rPr>
          <w:color w:val="C55911"/>
        </w:rPr>
        <w:t>(F65)</w:t>
      </w:r>
      <w:r>
        <w:rPr>
          <w:color w:val="000000"/>
        </w:rPr>
        <w:t>. The GWP values are also default values based on the IPCC methodologies</w:t>
      </w:r>
      <w:r w:rsidR="00F02737">
        <w:rPr>
          <w:color w:val="000000"/>
        </w:rPr>
        <w:t xml:space="preserve"> (AR5)</w:t>
      </w:r>
      <w:r>
        <w:rPr>
          <w:color w:val="000000"/>
        </w:rPr>
        <w:t>.</w:t>
      </w:r>
    </w:p>
    <w:p w14:paraId="505FCE45" w14:textId="77777777" w:rsidR="00144F86" w:rsidRDefault="00144F86" w:rsidP="00144F86">
      <w:pPr>
        <w:pBdr>
          <w:top w:val="nil"/>
          <w:left w:val="nil"/>
          <w:bottom w:val="nil"/>
          <w:right w:val="nil"/>
          <w:between w:val="nil"/>
        </w:pBdr>
        <w:ind w:left="360"/>
        <w:jc w:val="both"/>
        <w:rPr>
          <w:color w:val="000000"/>
        </w:rPr>
      </w:pPr>
    </w:p>
    <w:p w14:paraId="5A2117D3" w14:textId="3A80D0C5" w:rsidR="00484FC9" w:rsidRDefault="007214B7" w:rsidP="00484FC9">
      <w:pPr>
        <w:pBdr>
          <w:top w:val="nil"/>
          <w:left w:val="nil"/>
          <w:bottom w:val="nil"/>
          <w:right w:val="nil"/>
          <w:between w:val="nil"/>
        </w:pBdr>
        <w:jc w:val="both"/>
        <w:rPr>
          <w:b/>
          <w:bCs/>
          <w:color w:val="000000"/>
        </w:rPr>
      </w:pPr>
      <w:r>
        <w:rPr>
          <w:b/>
          <w:bCs/>
          <w:color w:val="000000"/>
        </w:rPr>
        <w:t>Eig</w:t>
      </w:r>
      <w:r w:rsidR="00CD5C42">
        <w:rPr>
          <w:b/>
          <w:bCs/>
          <w:color w:val="000000"/>
        </w:rPr>
        <w:t>hth</w:t>
      </w:r>
      <w:r w:rsidR="00484FC9" w:rsidRPr="002D06DD">
        <w:rPr>
          <w:b/>
          <w:bCs/>
          <w:color w:val="000000"/>
        </w:rPr>
        <w:t xml:space="preserve"> Table: </w:t>
      </w:r>
    </w:p>
    <w:p w14:paraId="7D1C7A1D" w14:textId="08844A0C" w:rsidR="00484FC9" w:rsidRPr="002D06DD" w:rsidRDefault="00D72D95" w:rsidP="00D72D95">
      <w:pPr>
        <w:pStyle w:val="ListParagraph"/>
        <w:numPr>
          <w:ilvl w:val="0"/>
          <w:numId w:val="4"/>
        </w:numPr>
        <w:pBdr>
          <w:top w:val="nil"/>
          <w:left w:val="nil"/>
          <w:bottom w:val="nil"/>
          <w:right w:val="nil"/>
          <w:between w:val="nil"/>
        </w:pBdr>
        <w:jc w:val="both"/>
        <w:rPr>
          <w:color w:val="000000"/>
        </w:rPr>
      </w:pPr>
      <w:r w:rsidRPr="002D06DD">
        <w:rPr>
          <w:color w:val="C55911"/>
        </w:rPr>
        <w:t>Population (thousands)</w:t>
      </w:r>
      <w:r w:rsidRPr="002D06DD">
        <w:rPr>
          <w:color w:val="000000"/>
        </w:rPr>
        <w:t>= population in the start year</w:t>
      </w:r>
      <w:r w:rsidR="00AC234C">
        <w:rPr>
          <w:color w:val="000000"/>
        </w:rPr>
        <w:t xml:space="preserve"> </w:t>
      </w:r>
      <w:r w:rsidR="00AC234C" w:rsidRPr="002D06DD">
        <w:rPr>
          <w:color w:val="C55911"/>
        </w:rPr>
        <w:t>(</w:t>
      </w:r>
      <w:r w:rsidR="00AC234C">
        <w:rPr>
          <w:color w:val="C55911"/>
        </w:rPr>
        <w:t>C88</w:t>
      </w:r>
      <w:r w:rsidR="00AC234C" w:rsidRPr="002D06DD">
        <w:rPr>
          <w:color w:val="C55911"/>
        </w:rPr>
        <w:t>)</w:t>
      </w:r>
      <w:r w:rsidR="006D4449" w:rsidRPr="002D06DD">
        <w:rPr>
          <w:color w:val="000000"/>
        </w:rPr>
        <w:t>.</w:t>
      </w:r>
    </w:p>
    <w:p w14:paraId="34CE8460" w14:textId="1E8B169B" w:rsidR="00D72D95" w:rsidRPr="006D4449" w:rsidRDefault="00D72D95" w:rsidP="002D06DD">
      <w:pPr>
        <w:pStyle w:val="ListParagraph"/>
        <w:numPr>
          <w:ilvl w:val="0"/>
          <w:numId w:val="4"/>
        </w:numPr>
        <w:pBdr>
          <w:top w:val="nil"/>
          <w:left w:val="nil"/>
          <w:bottom w:val="nil"/>
          <w:right w:val="nil"/>
          <w:between w:val="nil"/>
        </w:pBdr>
        <w:jc w:val="both"/>
        <w:rPr>
          <w:color w:val="000000"/>
        </w:rPr>
      </w:pPr>
      <w:r w:rsidRPr="002D06DD">
        <w:rPr>
          <w:color w:val="C55911"/>
        </w:rPr>
        <w:t>GDP (current MUS$)</w:t>
      </w:r>
      <w:r w:rsidR="006D4449" w:rsidRPr="002D06DD">
        <w:rPr>
          <w:color w:val="C55911"/>
        </w:rPr>
        <w:t xml:space="preserve"> </w:t>
      </w:r>
      <w:r w:rsidR="006D4449" w:rsidRPr="002D06DD">
        <w:rPr>
          <w:color w:val="000000"/>
        </w:rPr>
        <w:t>= Gross Domestic Product (GDP) in the start year</w:t>
      </w:r>
      <w:r w:rsidR="00AC234C">
        <w:rPr>
          <w:color w:val="000000"/>
        </w:rPr>
        <w:t xml:space="preserve"> </w:t>
      </w:r>
      <w:r w:rsidR="00AC234C" w:rsidRPr="002D06DD">
        <w:rPr>
          <w:color w:val="C55911"/>
        </w:rPr>
        <w:t>(C89</w:t>
      </w:r>
      <w:r w:rsidR="00AC234C" w:rsidRPr="002D06DD">
        <w:rPr>
          <w:color w:val="C45911" w:themeColor="accent2" w:themeShade="BF"/>
        </w:rPr>
        <w:t>)</w:t>
      </w:r>
      <w:r w:rsidR="006D4449" w:rsidRPr="002D06DD">
        <w:rPr>
          <w:color w:val="000000"/>
        </w:rPr>
        <w:t>.</w:t>
      </w:r>
    </w:p>
    <w:p w14:paraId="202FC198" w14:textId="0169DA9B" w:rsidR="001838B8" w:rsidRDefault="00A731EB">
      <w:pPr>
        <w:jc w:val="both"/>
      </w:pPr>
      <w:r>
        <w:t xml:space="preserve">Once all the data have been inserted in the tables above, you can move to the next step by clicking </w:t>
      </w:r>
      <w:r>
        <w:rPr>
          <w:color w:val="0070C0"/>
        </w:rPr>
        <w:t>“Go to Step 2”</w:t>
      </w:r>
      <w:r>
        <w:t>.</w:t>
      </w:r>
    </w:p>
    <w:p w14:paraId="202FC19C" w14:textId="35B29C56" w:rsidR="001838B8" w:rsidRDefault="00A731EB" w:rsidP="002D06DD">
      <w:pPr>
        <w:pStyle w:val="Heading2"/>
        <w:rPr>
          <w:color w:val="5B9BD5"/>
          <w:sz w:val="24"/>
          <w:szCs w:val="24"/>
          <w:u w:val="single"/>
        </w:rPr>
      </w:pPr>
      <w:bookmarkStart w:id="8" w:name="_Toc151557927"/>
      <w:r>
        <w:rPr>
          <w:color w:val="5B9BD5"/>
          <w:sz w:val="24"/>
          <w:szCs w:val="24"/>
          <w:u w:val="single"/>
        </w:rPr>
        <w:t>STEP 2 = The Energy Balance sheet:</w:t>
      </w:r>
      <w:bookmarkEnd w:id="8"/>
    </w:p>
    <w:p w14:paraId="202FC19D" w14:textId="77777777" w:rsidR="001838B8" w:rsidRDefault="00A731EB">
      <w:pPr>
        <w:jc w:val="both"/>
        <w:rPr>
          <w:color w:val="C55911"/>
        </w:rPr>
      </w:pPr>
      <w:r>
        <w:t xml:space="preserve">This spreadsheet includes the energy data disaggregated by sector of activity for the start year. </w:t>
      </w:r>
      <w:r>
        <w:rPr>
          <w:color w:val="C55911"/>
        </w:rPr>
        <w:t>This sheet must be filled in by the user.</w:t>
      </w:r>
    </w:p>
    <w:p w14:paraId="202FC19E" w14:textId="00607E1B" w:rsidR="001838B8" w:rsidRDefault="00A731EB">
      <w:pPr>
        <w:jc w:val="both"/>
      </w:pPr>
      <w:r>
        <w:t xml:space="preserve">The user must fill in one of the two tables with the energy data expressed in </w:t>
      </w:r>
      <w:r w:rsidR="00407DF9">
        <w:t>t</w:t>
      </w:r>
      <w:r>
        <w:t>era</w:t>
      </w:r>
      <w:r w:rsidR="00407DF9">
        <w:t>j</w:t>
      </w:r>
      <w:r w:rsidR="00950F29">
        <w:t>o</w:t>
      </w:r>
      <w:r>
        <w:t xml:space="preserve">ules (TJ) </w:t>
      </w:r>
      <w:r w:rsidR="00D26345">
        <w:t>and</w:t>
      </w:r>
      <w:r>
        <w:t xml:space="preserve"> volume/mass in terms of million cubic meter (</w:t>
      </w:r>
      <w:r w:rsidR="0058584B">
        <w:t>million m</w:t>
      </w:r>
      <w:r w:rsidR="0058584B" w:rsidRPr="002D06DD">
        <w:rPr>
          <w:vertAlign w:val="superscript"/>
        </w:rPr>
        <w:t>3</w:t>
      </w:r>
      <w:r>
        <w:t xml:space="preserve">) and </w:t>
      </w:r>
      <w:r w:rsidR="00407DF9">
        <w:t>m</w:t>
      </w:r>
      <w:r>
        <w:t xml:space="preserve">ega </w:t>
      </w:r>
      <w:r w:rsidR="00407DF9">
        <w:t>t</w:t>
      </w:r>
      <w:r>
        <w:t>onnes (</w:t>
      </w:r>
      <w:r w:rsidR="00E40CD2">
        <w:t>Mt</w:t>
      </w:r>
      <w:r>
        <w:t xml:space="preserve">). To do so, the user chose the relevant table by clicking </w:t>
      </w:r>
      <w:r>
        <w:rPr>
          <w:color w:val="0070C0"/>
        </w:rPr>
        <w:t>“Select unit for input”</w:t>
      </w:r>
      <w:r>
        <w:t xml:space="preserve"> and by selecting either Energy value or Volume/Mass value.</w:t>
      </w:r>
    </w:p>
    <w:p w14:paraId="202FC19F" w14:textId="10D28A75" w:rsidR="001838B8" w:rsidRDefault="00A731EB">
      <w:pPr>
        <w:jc w:val="both"/>
      </w:pPr>
      <w:r>
        <w:t xml:space="preserve">The structure of the two tables </w:t>
      </w:r>
      <w:r>
        <w:rPr>
          <w:i/>
        </w:rPr>
        <w:t xml:space="preserve">Energy balance in TJ – Country X - </w:t>
      </w:r>
      <w:r w:rsidR="007F4AE5">
        <w:rPr>
          <w:i/>
        </w:rPr>
        <w:t>Start</w:t>
      </w:r>
      <w:r>
        <w:rPr>
          <w:i/>
        </w:rPr>
        <w:t xml:space="preserve"> year energy balance in Mt and </w:t>
      </w:r>
      <w:r w:rsidR="00D14BBB">
        <w:rPr>
          <w:i/>
        </w:rPr>
        <w:t>Million m</w:t>
      </w:r>
      <w:r w:rsidR="00D14BBB" w:rsidRPr="002D06DD">
        <w:rPr>
          <w:i/>
          <w:vertAlign w:val="superscript"/>
        </w:rPr>
        <w:t>3</w:t>
      </w:r>
      <w:r>
        <w:t xml:space="preserve"> are the same. They include the list of categories of activity for energy use in column C. For each category of activity relevant to the national context of the country, the user </w:t>
      </w:r>
      <w:r w:rsidR="00E40CD2">
        <w:t>must</w:t>
      </w:r>
      <w:r>
        <w:t xml:space="preserve"> introduce the amount of each fossil fuel used for this specific category expressed in the selected unit (TJ or </w:t>
      </w:r>
      <w:r w:rsidR="00FB08AE">
        <w:rPr>
          <w:i/>
        </w:rPr>
        <w:t>Million m</w:t>
      </w:r>
      <w:r w:rsidR="00FB08AE" w:rsidRPr="00011147">
        <w:rPr>
          <w:i/>
          <w:vertAlign w:val="superscript"/>
        </w:rPr>
        <w:t>3</w:t>
      </w:r>
      <w:r>
        <w:t>/M</w:t>
      </w:r>
      <w:r w:rsidR="00FB08AE">
        <w:t>t</w:t>
      </w:r>
      <w:r>
        <w:t>). Data should only be inserted in the yellow cells. In case a category of activity is not relevant to the national context, no data should be inserted in the corresponding cell.</w:t>
      </w:r>
    </w:p>
    <w:p w14:paraId="202FC1A0" w14:textId="7245FE33" w:rsidR="001838B8" w:rsidRDefault="00A731EB">
      <w:pPr>
        <w:jc w:val="both"/>
      </w:pPr>
      <w:r>
        <w:t xml:space="preserve">Once the user has inserted the energy balance data in TJ or Mass/volume units, </w:t>
      </w:r>
      <w:r w:rsidR="00F2723E">
        <w:t xml:space="preserve">the </w:t>
      </w:r>
      <w:r>
        <w:t xml:space="preserve">GACMO </w:t>
      </w:r>
      <w:r w:rsidR="00F2723E">
        <w:t xml:space="preserve">tool </w:t>
      </w:r>
      <w:r>
        <w:t>automatically calculates the energy balance in</w:t>
      </w:r>
      <w:r w:rsidR="0044322B">
        <w:t xml:space="preserve"> 1000 tonnes of oil equivalent</w:t>
      </w:r>
      <w:r>
        <w:t xml:space="preserve"> </w:t>
      </w:r>
      <w:r w:rsidR="0044322B">
        <w:t>(</w:t>
      </w:r>
      <w:proofErr w:type="spellStart"/>
      <w:r>
        <w:t>ktoe</w:t>
      </w:r>
      <w:proofErr w:type="spellEnd"/>
      <w:r w:rsidR="0044322B">
        <w:t>)</w:t>
      </w:r>
      <w:r>
        <w:t xml:space="preserve">. The table for the energy balance expressed in </w:t>
      </w:r>
      <w:proofErr w:type="spellStart"/>
      <w:r>
        <w:t>ktoe</w:t>
      </w:r>
      <w:proofErr w:type="spellEnd"/>
      <w:r>
        <w:t xml:space="preserve"> can be seen or hidden by the user by clicking </w:t>
      </w:r>
      <w:r>
        <w:rPr>
          <w:color w:val="0070C0"/>
        </w:rPr>
        <w:t xml:space="preserve">“See/Hide table in </w:t>
      </w:r>
      <w:proofErr w:type="spellStart"/>
      <w:r>
        <w:rPr>
          <w:color w:val="0070C0"/>
        </w:rPr>
        <w:t>ktoe</w:t>
      </w:r>
      <w:proofErr w:type="spellEnd"/>
      <w:r>
        <w:rPr>
          <w:color w:val="0070C0"/>
        </w:rPr>
        <w:t xml:space="preserve"> values”</w:t>
      </w:r>
      <w:r>
        <w:t>.</w:t>
      </w:r>
    </w:p>
    <w:p w14:paraId="5660FDA0" w14:textId="40763A8B" w:rsidR="00FA6E34" w:rsidRDefault="00A731EB">
      <w:pPr>
        <w:jc w:val="both"/>
      </w:pPr>
      <w:r>
        <w:t xml:space="preserve">On the same spreadsheet, the user must also fill in the table called </w:t>
      </w:r>
      <w:r w:rsidR="0081794E">
        <w:rPr>
          <w:i/>
        </w:rPr>
        <w:t>Start</w:t>
      </w:r>
      <w:r>
        <w:rPr>
          <w:i/>
        </w:rPr>
        <w:t xml:space="preserve"> year electricity balance in GWh</w:t>
      </w:r>
      <w:r>
        <w:t xml:space="preserve">. This table corresponds to the electricity balance for the start year. The user </w:t>
      </w:r>
      <w:r w:rsidR="00786254">
        <w:t>must</w:t>
      </w:r>
      <w:r>
        <w:t xml:space="preserve"> introduce the electricity consumption in GWh for each category of activity relevant to the national context of the country </w:t>
      </w:r>
      <w:r>
        <w:rPr>
          <w:color w:val="C55911"/>
        </w:rPr>
        <w:t xml:space="preserve">(D103 to D122) </w:t>
      </w:r>
      <w:r>
        <w:t xml:space="preserve">as well as the electricity production from the different types of fossil fuels </w:t>
      </w:r>
      <w:r>
        <w:rPr>
          <w:color w:val="C55911"/>
        </w:rPr>
        <w:t xml:space="preserve">(G105 to G110) </w:t>
      </w:r>
      <w:r>
        <w:t xml:space="preserve">or from renewable sources </w:t>
      </w:r>
      <w:r>
        <w:rPr>
          <w:color w:val="C55911"/>
        </w:rPr>
        <w:t xml:space="preserve">(G112 to G116) </w:t>
      </w:r>
      <w:r>
        <w:t>relevant to the national context.</w:t>
      </w:r>
      <w:r w:rsidR="00330AC2">
        <w:t xml:space="preserve"> Finally, the user needs to </w:t>
      </w:r>
      <w:r w:rsidR="00FA6E34">
        <w:t xml:space="preserve">introduce the </w:t>
      </w:r>
      <w:r w:rsidR="004C0AD5" w:rsidRPr="00FA6E34">
        <w:t>data on</w:t>
      </w:r>
      <w:r w:rsidR="004C0AD5">
        <w:t xml:space="preserve"> </w:t>
      </w:r>
      <w:r w:rsidR="00BB0D76">
        <w:t>electricity</w:t>
      </w:r>
      <w:r w:rsidR="004C0AD5" w:rsidRPr="00FA6E34">
        <w:t xml:space="preserve"> import and export for the Start Year</w:t>
      </w:r>
      <w:r w:rsidR="00BB0D76">
        <w:t xml:space="preserve"> </w:t>
      </w:r>
      <w:r w:rsidR="00BB0D76">
        <w:rPr>
          <w:color w:val="C55911"/>
        </w:rPr>
        <w:t>(G119 to G120)</w:t>
      </w:r>
      <w:r w:rsidR="00BB0D76">
        <w:t xml:space="preserve">. The GACMO tool </w:t>
      </w:r>
      <w:r w:rsidR="001E1D3C">
        <w:t xml:space="preserve">will then </w:t>
      </w:r>
      <w:r w:rsidR="008B6042">
        <w:t>calcula</w:t>
      </w:r>
      <w:r w:rsidR="00050EA1">
        <w:t xml:space="preserve">te the </w:t>
      </w:r>
      <w:r w:rsidR="00FA6E34" w:rsidRPr="00FA6E34">
        <w:t>Net import</w:t>
      </w:r>
      <w:r w:rsidR="00050EA1">
        <w:t>, which</w:t>
      </w:r>
      <w:r w:rsidR="00FA6E34" w:rsidRPr="00FA6E34">
        <w:t xml:space="preserve"> is the </w:t>
      </w:r>
      <w:r w:rsidR="00635548">
        <w:t>difference between the</w:t>
      </w:r>
      <w:r w:rsidR="00FA6E34" w:rsidRPr="00FA6E34">
        <w:t xml:space="preserve"> total import</w:t>
      </w:r>
      <w:r w:rsidR="00635548">
        <w:t>s and the</w:t>
      </w:r>
      <w:r w:rsidR="00FA6E34" w:rsidRPr="00FA6E34">
        <w:t xml:space="preserve"> total export</w:t>
      </w:r>
      <w:r w:rsidR="00635548">
        <w:t>s</w:t>
      </w:r>
      <w:r w:rsidR="00FA6E34" w:rsidRPr="00FA6E34">
        <w:t>.</w:t>
      </w:r>
    </w:p>
    <w:p w14:paraId="202FC1A3" w14:textId="1CE1E03C" w:rsidR="001838B8" w:rsidRDefault="00A731EB">
      <w:pPr>
        <w:jc w:val="both"/>
      </w:pPr>
      <w:r>
        <w:t xml:space="preserve">Once all the data have been inserted in the tables above, </w:t>
      </w:r>
      <w:r w:rsidR="00397158">
        <w:t>the user</w:t>
      </w:r>
      <w:r>
        <w:t xml:space="preserve"> can move to the next step by clicking </w:t>
      </w:r>
      <w:r>
        <w:rPr>
          <w:color w:val="0070C0"/>
        </w:rPr>
        <w:t>“Go to Step 3”</w:t>
      </w:r>
      <w:r>
        <w:t>.</w:t>
      </w:r>
      <w:r w:rsidR="00DD5D51">
        <w:t xml:space="preserve"> Note that th</w:t>
      </w:r>
      <w:r w:rsidR="006F4440">
        <w:t xml:space="preserve">e button </w:t>
      </w:r>
      <w:r w:rsidR="006F4440" w:rsidRPr="006F4440">
        <w:t>“Go to Step 3”</w:t>
      </w:r>
      <w:r w:rsidR="006B6966">
        <w:t xml:space="preserve"> only appears </w:t>
      </w:r>
      <w:r w:rsidR="00397158">
        <w:t>after the operations in the Energy balance sheet</w:t>
      </w:r>
      <w:r w:rsidR="00397158" w:rsidDel="00397158">
        <w:t xml:space="preserve"> </w:t>
      </w:r>
      <w:r w:rsidR="00397158">
        <w:t>have been</w:t>
      </w:r>
      <w:r w:rsidR="006B6966">
        <w:t xml:space="preserve"> completed</w:t>
      </w:r>
      <w:r w:rsidR="0053016D">
        <w:t>.</w:t>
      </w:r>
    </w:p>
    <w:p w14:paraId="202FC1A5" w14:textId="77F74DED" w:rsidR="001838B8" w:rsidRDefault="00A731EB" w:rsidP="00786254">
      <w:pPr>
        <w:pStyle w:val="Heading2"/>
        <w:rPr>
          <w:color w:val="5B9BD5"/>
          <w:sz w:val="24"/>
          <w:szCs w:val="24"/>
          <w:u w:val="single"/>
        </w:rPr>
      </w:pPr>
      <w:bookmarkStart w:id="9" w:name="_Toc151557928"/>
      <w:r>
        <w:rPr>
          <w:color w:val="5B9BD5"/>
          <w:sz w:val="24"/>
          <w:szCs w:val="24"/>
          <w:u w:val="single"/>
        </w:rPr>
        <w:lastRenderedPageBreak/>
        <w:t xml:space="preserve">STEP 3 = The GHG Balance </w:t>
      </w:r>
      <w:r w:rsidR="00D73743">
        <w:rPr>
          <w:color w:val="5B9BD5"/>
          <w:sz w:val="24"/>
          <w:szCs w:val="24"/>
          <w:u w:val="single"/>
        </w:rPr>
        <w:t>sheet:</w:t>
      </w:r>
      <w:bookmarkEnd w:id="9"/>
    </w:p>
    <w:p w14:paraId="202FC1A6" w14:textId="293589CC" w:rsidR="001838B8" w:rsidRDefault="00A731EB">
      <w:pPr>
        <w:jc w:val="both"/>
      </w:pPr>
      <w:r>
        <w:t xml:space="preserve">This spreadsheet includes GHG emissions data disaggregated by sector of activity for the start year. </w:t>
      </w:r>
      <w:r w:rsidR="00904C1E">
        <w:t xml:space="preserve">The </w:t>
      </w:r>
      <w:r w:rsidR="00F75380" w:rsidRPr="00F75380">
        <w:t>CO</w:t>
      </w:r>
      <w:r w:rsidR="00F75380" w:rsidRPr="00D73743">
        <w:rPr>
          <w:vertAlign w:val="subscript"/>
        </w:rPr>
        <w:t>2</w:t>
      </w:r>
      <w:r w:rsidR="00F75380" w:rsidRPr="00F75380">
        <w:t xml:space="preserve"> emissions from fuel combustion </w:t>
      </w:r>
      <w:r w:rsidR="00314100">
        <w:t xml:space="preserve">sectors </w:t>
      </w:r>
      <w:r w:rsidR="00F75380" w:rsidRPr="00F75380">
        <w:t xml:space="preserve">are estimated by the GACMO </w:t>
      </w:r>
      <w:r w:rsidR="00904C1E">
        <w:t xml:space="preserve">tool </w:t>
      </w:r>
      <w:r w:rsidR="00F75380" w:rsidRPr="00F75380">
        <w:t xml:space="preserve">automatically. </w:t>
      </w:r>
      <w:r w:rsidR="00FF1A34" w:rsidRPr="00904C1E">
        <w:t>Non-CO</w:t>
      </w:r>
      <w:r w:rsidR="00FF1A34" w:rsidRPr="00904C1E">
        <w:rPr>
          <w:vertAlign w:val="subscript"/>
        </w:rPr>
        <w:t>2</w:t>
      </w:r>
      <w:r w:rsidR="00FF1A34" w:rsidRPr="00904C1E">
        <w:t xml:space="preserve"> emissions</w:t>
      </w:r>
      <w:r w:rsidR="001C0877">
        <w:t xml:space="preserve"> from fuel combustion</w:t>
      </w:r>
      <w:r w:rsidR="00F75380" w:rsidRPr="00904C1E">
        <w:t>, non-</w:t>
      </w:r>
      <w:r w:rsidR="00E625C8" w:rsidRPr="00904C1E">
        <w:t>fuel combustion</w:t>
      </w:r>
      <w:r w:rsidR="00F75380" w:rsidRPr="00904C1E">
        <w:t xml:space="preserve"> sectors must be filled in by the user.</w:t>
      </w:r>
      <w:r w:rsidR="00F75380">
        <w:t xml:space="preserve"> </w:t>
      </w:r>
    </w:p>
    <w:p w14:paraId="202FC1A7" w14:textId="0FCBD33F" w:rsidR="001838B8" w:rsidRDefault="00A731EB">
      <w:pPr>
        <w:jc w:val="both"/>
      </w:pPr>
      <w:r>
        <w:t xml:space="preserve">The user should not insert or modify the data in the first table called </w:t>
      </w:r>
      <w:r>
        <w:rPr>
          <w:i/>
        </w:rPr>
        <w:t xml:space="preserve">CO2 </w:t>
      </w:r>
      <w:r w:rsidR="00BA7396">
        <w:rPr>
          <w:i/>
        </w:rPr>
        <w:t>Emissions</w:t>
      </w:r>
      <w:r>
        <w:rPr>
          <w:i/>
        </w:rPr>
        <w:t xml:space="preserve"> – Country X - </w:t>
      </w:r>
      <w:r w:rsidR="007C706E">
        <w:rPr>
          <w:i/>
        </w:rPr>
        <w:t xml:space="preserve">Start </w:t>
      </w:r>
      <w:r>
        <w:rPr>
          <w:i/>
        </w:rPr>
        <w:t>year</w:t>
      </w:r>
      <w:r>
        <w:t xml:space="preserve">. This table includes the </w:t>
      </w:r>
      <w:r w:rsidR="007A6DF7">
        <w:t>estimates of</w:t>
      </w:r>
      <w:r>
        <w:t xml:space="preserve"> CO</w:t>
      </w:r>
      <w:r w:rsidRPr="00324626">
        <w:rPr>
          <w:vertAlign w:val="subscript"/>
        </w:rPr>
        <w:t>2</w:t>
      </w:r>
      <w:r>
        <w:t xml:space="preserve"> emissions</w:t>
      </w:r>
      <w:r w:rsidR="007A6DF7">
        <w:t xml:space="preserve"> from fuel combustion</w:t>
      </w:r>
      <w:r>
        <w:t xml:space="preserve"> at the start year. </w:t>
      </w:r>
      <w:r w:rsidR="00F2723E">
        <w:t xml:space="preserve">The </w:t>
      </w:r>
      <w:r>
        <w:t>GACMO</w:t>
      </w:r>
      <w:r w:rsidR="00F2723E">
        <w:t xml:space="preserve"> tool</w:t>
      </w:r>
      <w:r>
        <w:t xml:space="preserve"> automatically calculates the data in this table from the </w:t>
      </w:r>
      <w:r w:rsidR="00CA58D8">
        <w:t xml:space="preserve">Energy Balance </w:t>
      </w:r>
      <w:r>
        <w:t xml:space="preserve">data inserted in the previous sheet. </w:t>
      </w:r>
    </w:p>
    <w:p w14:paraId="202FC1A8" w14:textId="6D2722A4" w:rsidR="001838B8" w:rsidRDefault="00A731EB">
      <w:pPr>
        <w:jc w:val="both"/>
      </w:pPr>
      <w:r>
        <w:t xml:space="preserve">The user must fill in the second table </w:t>
      </w:r>
      <w:proofErr w:type="gramStart"/>
      <w:r w:rsidR="00A732A2" w:rsidRPr="002E7747">
        <w:rPr>
          <w:i/>
          <w:iCs/>
        </w:rPr>
        <w:t>Non-CO</w:t>
      </w:r>
      <w:r w:rsidR="00A732A2" w:rsidRPr="002E7747">
        <w:rPr>
          <w:i/>
          <w:iCs/>
          <w:vertAlign w:val="subscript"/>
        </w:rPr>
        <w:t>2</w:t>
      </w:r>
      <w:proofErr w:type="gramEnd"/>
      <w:r w:rsidR="00A732A2" w:rsidRPr="002E7747">
        <w:rPr>
          <w:i/>
          <w:iCs/>
        </w:rPr>
        <w:t xml:space="preserve"> emissions</w:t>
      </w:r>
      <w:r w:rsidR="001C0877">
        <w:rPr>
          <w:i/>
          <w:iCs/>
        </w:rPr>
        <w:t xml:space="preserve"> from fuel combustion</w:t>
      </w:r>
      <w:r w:rsidR="00A732A2" w:rsidRPr="002E7747">
        <w:rPr>
          <w:i/>
          <w:iCs/>
        </w:rPr>
        <w:t>, non-fuel combustion sectors</w:t>
      </w:r>
      <w:r w:rsidR="00A732A2">
        <w:t xml:space="preserve"> </w:t>
      </w:r>
      <w:r>
        <w:t xml:space="preserve">corresponding to the </w:t>
      </w:r>
      <w:r w:rsidR="00A732A2">
        <w:t>GHG</w:t>
      </w:r>
      <w:r>
        <w:t xml:space="preserve"> data</w:t>
      </w:r>
      <w:r w:rsidR="00616DA9">
        <w:t>,</w:t>
      </w:r>
      <w:r>
        <w:t xml:space="preserve"> expressed in ktCO</w:t>
      </w:r>
      <w:r w:rsidRPr="00304503">
        <w:rPr>
          <w:vertAlign w:val="subscript"/>
        </w:rPr>
        <w:t>2</w:t>
      </w:r>
      <w:r>
        <w:t xml:space="preserve"> equivalents</w:t>
      </w:r>
      <w:r w:rsidR="00616DA9">
        <w:t>,</w:t>
      </w:r>
      <w:r>
        <w:t xml:space="preserve"> for each sector or sub-sector as defined by the IPCC categories </w:t>
      </w:r>
      <w:r>
        <w:rPr>
          <w:color w:val="C55911"/>
        </w:rPr>
        <w:t>(D41 to D53)</w:t>
      </w:r>
      <w:r>
        <w:t xml:space="preserve">. In case a sector or sub-sector is not relevant to the national context, no data should be inserted in the corresponding cell. Also, if the user wants to ignore specific sectors or sub-sectors, then no data </w:t>
      </w:r>
      <w:r w:rsidR="00AF03AD">
        <w:t xml:space="preserve">should </w:t>
      </w:r>
      <w:r>
        <w:t>be inserted in the corresponding cells. For example, if a user wants to include only the emissions for the waste sector, then data will only be inserted in D51/D52. If a user wants to estimate only CO</w:t>
      </w:r>
      <w:r w:rsidRPr="00304503">
        <w:rPr>
          <w:vertAlign w:val="subscript"/>
        </w:rPr>
        <w:t>2</w:t>
      </w:r>
      <w:r>
        <w:t xml:space="preserve"> emissions from </w:t>
      </w:r>
      <w:r w:rsidR="009C2149">
        <w:t>fuel combustion</w:t>
      </w:r>
      <w:r>
        <w:t>, this second table should be left empty.</w:t>
      </w:r>
    </w:p>
    <w:p w14:paraId="202FC1A9" w14:textId="480FFE66" w:rsidR="001838B8" w:rsidRDefault="00A731EB">
      <w:pPr>
        <w:jc w:val="both"/>
      </w:pPr>
      <w:r>
        <w:t xml:space="preserve">It is thus important to note that the user </w:t>
      </w:r>
      <w:r w:rsidR="00213B81">
        <w:t xml:space="preserve">should </w:t>
      </w:r>
      <w:r>
        <w:t xml:space="preserve">include data only for the sectors or sub-sectors relevant to the national context and/or only for the sectors or sub-sectors that the user wants to cover in the GACMO </w:t>
      </w:r>
      <w:r w:rsidR="00F2723E">
        <w:t xml:space="preserve">tool </w:t>
      </w:r>
      <w:r>
        <w:t>analysis.</w:t>
      </w:r>
    </w:p>
    <w:p w14:paraId="202FC1AB" w14:textId="77777777" w:rsidR="001838B8" w:rsidRDefault="00A731EB">
      <w:pPr>
        <w:jc w:val="both"/>
      </w:pPr>
      <w:r>
        <w:t xml:space="preserve">Once all the data have been inserted in the tables above, you can move to the next step by clicking </w:t>
      </w:r>
      <w:r>
        <w:rPr>
          <w:color w:val="0070C0"/>
        </w:rPr>
        <w:t>“Go to Step 4”</w:t>
      </w:r>
      <w:r>
        <w:t>.</w:t>
      </w:r>
    </w:p>
    <w:p w14:paraId="202FC1AD" w14:textId="745A6BBF" w:rsidR="001838B8" w:rsidRDefault="00A731EB" w:rsidP="00582A39">
      <w:pPr>
        <w:pStyle w:val="Heading2"/>
        <w:rPr>
          <w:color w:val="5B9BD5"/>
          <w:sz w:val="24"/>
          <w:szCs w:val="24"/>
          <w:u w:val="single"/>
        </w:rPr>
      </w:pPr>
      <w:bookmarkStart w:id="10" w:name="_Toc151557929"/>
      <w:r>
        <w:rPr>
          <w:color w:val="5B9BD5"/>
          <w:sz w:val="24"/>
          <w:szCs w:val="24"/>
          <w:u w:val="single"/>
        </w:rPr>
        <w:t>STEP 4 = The Growth sheet:</w:t>
      </w:r>
      <w:bookmarkEnd w:id="10"/>
    </w:p>
    <w:p w14:paraId="202FC1AE" w14:textId="6D50017F" w:rsidR="001838B8" w:rsidRDefault="00A731EB">
      <w:pPr>
        <w:jc w:val="both"/>
        <w:rPr>
          <w:color w:val="C55911"/>
        </w:rPr>
      </w:pPr>
      <w:r>
        <w:t>This spreadsheet includes the expected growth in energy consumption for the different sectors of activity for different periods of time</w:t>
      </w:r>
      <w:r w:rsidR="007D0D56">
        <w:t>.</w:t>
      </w:r>
      <w:r w:rsidR="00D75CDD">
        <w:t xml:space="preserve"> The g</w:t>
      </w:r>
      <w:r w:rsidR="007D0D56">
        <w:t xml:space="preserve">rowth rates should assume </w:t>
      </w:r>
      <w:r w:rsidR="00D75CDD">
        <w:t xml:space="preserve">the </w:t>
      </w:r>
      <w:r w:rsidR="007D0D56">
        <w:t xml:space="preserve">absence of mitigation options as those growth rates are used to estimate </w:t>
      </w:r>
      <w:r w:rsidR="00D75CDD">
        <w:t xml:space="preserve">the </w:t>
      </w:r>
      <w:r w:rsidR="007D0D56">
        <w:t>BAU scenario</w:t>
      </w:r>
      <w:r>
        <w:t xml:space="preserve">. </w:t>
      </w:r>
      <w:r>
        <w:rPr>
          <w:color w:val="C55911"/>
        </w:rPr>
        <w:t>This sheet must be filled in by the user.</w:t>
      </w:r>
    </w:p>
    <w:p w14:paraId="202FC1AF" w14:textId="3A6E18C8" w:rsidR="001838B8" w:rsidRDefault="00A731EB">
      <w:pPr>
        <w:jc w:val="both"/>
      </w:pPr>
      <w:r>
        <w:t xml:space="preserve">The user must fill in the table called </w:t>
      </w:r>
      <w:r>
        <w:rPr>
          <w:i/>
        </w:rPr>
        <w:t>Growth from the start year – Country X</w:t>
      </w:r>
      <w:r>
        <w:t xml:space="preserve">. The data should be inserted for different periods of time </w:t>
      </w:r>
      <w:r w:rsidR="00306F10">
        <w:t xml:space="preserve">from </w:t>
      </w:r>
      <w:r w:rsidR="00E741E1">
        <w:t xml:space="preserve">the </w:t>
      </w:r>
      <w:r w:rsidR="00306F10">
        <w:t xml:space="preserve">start year </w:t>
      </w:r>
      <w:r>
        <w:t>to 2025, 2025-2030, 2030-2035, 2035-20</w:t>
      </w:r>
      <w:r w:rsidR="00A33C30">
        <w:t>4</w:t>
      </w:r>
      <w:r>
        <w:t>0</w:t>
      </w:r>
      <w:r w:rsidR="00A33C30">
        <w:t>, 2040-2045, and 2045-2050</w:t>
      </w:r>
      <w:r>
        <w:t>. The data to insert are:</w:t>
      </w:r>
    </w:p>
    <w:p w14:paraId="202FC1B0" w14:textId="24E9532A" w:rsidR="001838B8" w:rsidRDefault="00A731EB">
      <w:pPr>
        <w:numPr>
          <w:ilvl w:val="0"/>
          <w:numId w:val="5"/>
        </w:numPr>
        <w:pBdr>
          <w:top w:val="nil"/>
          <w:left w:val="nil"/>
          <w:bottom w:val="nil"/>
          <w:right w:val="nil"/>
          <w:between w:val="nil"/>
        </w:pBdr>
        <w:spacing w:after="0"/>
        <w:jc w:val="both"/>
        <w:rPr>
          <w:color w:val="000000"/>
        </w:rPr>
      </w:pPr>
      <w:r>
        <w:rPr>
          <w:color w:val="C55911"/>
        </w:rPr>
        <w:t xml:space="preserve">Population growth </w:t>
      </w:r>
      <w:r>
        <w:rPr>
          <w:color w:val="000000"/>
        </w:rPr>
        <w:t>=</w:t>
      </w:r>
      <w:r w:rsidR="00CA5FB4">
        <w:rPr>
          <w:color w:val="000000"/>
        </w:rPr>
        <w:t xml:space="preserve"> Annual</w:t>
      </w:r>
      <w:r>
        <w:rPr>
          <w:color w:val="000000"/>
        </w:rPr>
        <w:t xml:space="preserve"> growth factor</w:t>
      </w:r>
      <w:r w:rsidR="00CA5FB4">
        <w:rPr>
          <w:color w:val="000000"/>
        </w:rPr>
        <w:t xml:space="preserve"> (%)</w:t>
      </w:r>
      <w:r>
        <w:rPr>
          <w:color w:val="000000"/>
        </w:rPr>
        <w:t xml:space="preserve"> for the population </w:t>
      </w:r>
      <w:r>
        <w:rPr>
          <w:color w:val="C55911"/>
        </w:rPr>
        <w:t>(D16-F16)</w:t>
      </w:r>
    </w:p>
    <w:p w14:paraId="202FC1B1" w14:textId="55DA1C14" w:rsidR="001838B8" w:rsidRDefault="00A731EB">
      <w:pPr>
        <w:numPr>
          <w:ilvl w:val="0"/>
          <w:numId w:val="5"/>
        </w:numPr>
        <w:pBdr>
          <w:top w:val="nil"/>
          <w:left w:val="nil"/>
          <w:bottom w:val="nil"/>
          <w:right w:val="nil"/>
          <w:between w:val="nil"/>
        </w:pBdr>
        <w:spacing w:after="0"/>
        <w:jc w:val="both"/>
        <w:rPr>
          <w:color w:val="000000"/>
        </w:rPr>
      </w:pPr>
      <w:r>
        <w:rPr>
          <w:color w:val="C55911"/>
        </w:rPr>
        <w:t xml:space="preserve">GDP growth </w:t>
      </w:r>
      <w:r>
        <w:rPr>
          <w:color w:val="000000"/>
        </w:rPr>
        <w:t xml:space="preserve">= </w:t>
      </w:r>
      <w:r w:rsidR="00CA5FB4">
        <w:rPr>
          <w:color w:val="000000"/>
        </w:rPr>
        <w:t xml:space="preserve">Annual </w:t>
      </w:r>
      <w:r>
        <w:rPr>
          <w:color w:val="000000"/>
        </w:rPr>
        <w:t>growth factor</w:t>
      </w:r>
      <w:r w:rsidR="00CA5FB4">
        <w:rPr>
          <w:color w:val="000000"/>
        </w:rPr>
        <w:t xml:space="preserve"> (%)</w:t>
      </w:r>
      <w:r>
        <w:rPr>
          <w:color w:val="000000"/>
        </w:rPr>
        <w:t xml:space="preserve"> for the GDP </w:t>
      </w:r>
      <w:r>
        <w:rPr>
          <w:color w:val="C55911"/>
        </w:rPr>
        <w:t>(D16-F16)</w:t>
      </w:r>
    </w:p>
    <w:p w14:paraId="202FC1B2" w14:textId="25F9552E" w:rsidR="001838B8" w:rsidRDefault="00A731EB">
      <w:pPr>
        <w:numPr>
          <w:ilvl w:val="0"/>
          <w:numId w:val="5"/>
        </w:numPr>
        <w:pBdr>
          <w:top w:val="nil"/>
          <w:left w:val="nil"/>
          <w:bottom w:val="nil"/>
          <w:right w:val="nil"/>
          <w:between w:val="nil"/>
        </w:pBdr>
        <w:jc w:val="both"/>
        <w:rPr>
          <w:color w:val="000000"/>
        </w:rPr>
      </w:pPr>
      <w:r>
        <w:rPr>
          <w:color w:val="C55911"/>
        </w:rPr>
        <w:lastRenderedPageBreak/>
        <w:t xml:space="preserve">Energy consumption growth </w:t>
      </w:r>
      <w:r>
        <w:rPr>
          <w:color w:val="000000"/>
        </w:rPr>
        <w:t xml:space="preserve">= </w:t>
      </w:r>
      <w:r w:rsidR="00E741E1">
        <w:rPr>
          <w:color w:val="000000"/>
        </w:rPr>
        <w:t>A</w:t>
      </w:r>
      <w:r w:rsidR="00CA5FB4">
        <w:rPr>
          <w:color w:val="000000"/>
        </w:rPr>
        <w:t xml:space="preserve">nnual </w:t>
      </w:r>
      <w:r>
        <w:rPr>
          <w:color w:val="000000"/>
        </w:rPr>
        <w:t xml:space="preserve">growth factor for each category of activity </w:t>
      </w:r>
      <w:r>
        <w:rPr>
          <w:color w:val="C55911"/>
        </w:rPr>
        <w:t>(D19-F38)</w:t>
      </w:r>
      <w:r>
        <w:rPr>
          <w:color w:val="000000"/>
        </w:rPr>
        <w:t>. In case a category of activity is not relevant to the national context, no data should be inserted in the corresponding cell.</w:t>
      </w:r>
      <w:r>
        <w:rPr>
          <w:color w:val="000000"/>
          <w:vertAlign w:val="superscript"/>
        </w:rPr>
        <w:footnoteReference w:id="3"/>
      </w:r>
      <w:r>
        <w:rPr>
          <w:color w:val="000000"/>
        </w:rPr>
        <w:t xml:space="preserve"> </w:t>
      </w:r>
    </w:p>
    <w:p w14:paraId="202FC1B3" w14:textId="2CB991C4" w:rsidR="001838B8" w:rsidRDefault="00A731EB">
      <w:pPr>
        <w:jc w:val="both"/>
      </w:pPr>
      <w:r>
        <w:t xml:space="preserve">The energy consumption </w:t>
      </w:r>
      <w:r w:rsidR="00061C17">
        <w:t xml:space="preserve">annual percent </w:t>
      </w:r>
      <w:r>
        <w:t xml:space="preserve">growth data must be inserted in the table. </w:t>
      </w:r>
      <w:r w:rsidR="00EA55EC">
        <w:t>T</w:t>
      </w:r>
      <w:r w:rsidR="007E368F">
        <w:t xml:space="preserve">he </w:t>
      </w:r>
      <w:r>
        <w:t xml:space="preserve">GACMO </w:t>
      </w:r>
      <w:r w:rsidR="007E368F">
        <w:t xml:space="preserve">tool </w:t>
      </w:r>
      <w:r>
        <w:t xml:space="preserve">will use these growth factors to project the energy and the GHG data </w:t>
      </w:r>
      <w:r w:rsidR="00EA55EC">
        <w:t>from the start</w:t>
      </w:r>
      <w:r>
        <w:t xml:space="preserve"> yea</w:t>
      </w:r>
      <w:r w:rsidR="00EA55EC">
        <w:t>r</w:t>
      </w:r>
      <w:r>
        <w:t xml:space="preserve"> towards future years (2025, 2030, 2035, </w:t>
      </w:r>
      <w:r w:rsidR="00A33C30">
        <w:t xml:space="preserve">2040, 2045, </w:t>
      </w:r>
      <w:r>
        <w:t>and 2050)</w:t>
      </w:r>
      <w:r w:rsidR="00A349B4">
        <w:t xml:space="preserve"> </w:t>
      </w:r>
      <w:r w:rsidR="007D0D56">
        <w:t>in the</w:t>
      </w:r>
      <w:r w:rsidR="00A349B4">
        <w:t xml:space="preserve"> BAU scenario</w:t>
      </w:r>
      <w:r>
        <w:t xml:space="preserve">. The population and GDP growth data are not used in the projections themselves and are only used by </w:t>
      </w:r>
      <w:r w:rsidR="0015512B">
        <w:t>the tool</w:t>
      </w:r>
      <w:r>
        <w:t xml:space="preserve"> to express the </w:t>
      </w:r>
      <w:r w:rsidR="005A421F">
        <w:t>resulting GHG emissions</w:t>
      </w:r>
      <w:r>
        <w:t xml:space="preserve"> calculated as intensity data in </w:t>
      </w:r>
      <w:r w:rsidR="00791EF8">
        <w:t>tCO</w:t>
      </w:r>
      <w:r w:rsidR="00791EF8" w:rsidRPr="00A92CC7">
        <w:rPr>
          <w:vertAlign w:val="subscript"/>
        </w:rPr>
        <w:t>2</w:t>
      </w:r>
      <w:r w:rsidR="00791EF8">
        <w:t xml:space="preserve">e </w:t>
      </w:r>
      <w:r>
        <w:t xml:space="preserve">per capita or </w:t>
      </w:r>
      <w:r w:rsidR="00791EF8">
        <w:t>tCO</w:t>
      </w:r>
      <w:r w:rsidR="00791EF8" w:rsidRPr="00A92CC7">
        <w:rPr>
          <w:vertAlign w:val="subscript"/>
        </w:rPr>
        <w:t>2</w:t>
      </w:r>
      <w:r w:rsidR="00791EF8">
        <w:t xml:space="preserve">e </w:t>
      </w:r>
      <w:r>
        <w:t>per GDP.</w:t>
      </w:r>
    </w:p>
    <w:p w14:paraId="6C4DF66E" w14:textId="2700903A" w:rsidR="009364E8" w:rsidRDefault="009364E8">
      <w:pPr>
        <w:jc w:val="both"/>
      </w:pPr>
      <w:r>
        <w:t xml:space="preserve">After the user clicks “Go to Step 5”, </w:t>
      </w:r>
      <w:r w:rsidR="00A92CC7">
        <w:t>the s</w:t>
      </w:r>
      <w:r>
        <w:t xml:space="preserve">heets with </w:t>
      </w:r>
      <w:r w:rsidR="00A92CC7">
        <w:t>s</w:t>
      </w:r>
      <w:r>
        <w:t xml:space="preserve">teps 1-4 will be hidden. </w:t>
      </w:r>
      <w:r w:rsidR="00A92CC7">
        <w:t>The u</w:t>
      </w:r>
      <w:r>
        <w:t xml:space="preserve">ser can unhide </w:t>
      </w:r>
      <w:r w:rsidR="00A92CC7">
        <w:t>the s</w:t>
      </w:r>
      <w:r>
        <w:t xml:space="preserve">teps 1-4 by clicking on “Go back to Step 1-4”.  </w:t>
      </w:r>
    </w:p>
    <w:p w14:paraId="202FC1B6" w14:textId="07C707FA" w:rsidR="001838B8" w:rsidRDefault="00A731EB">
      <w:pPr>
        <w:jc w:val="both"/>
      </w:pPr>
      <w:r>
        <w:t>Once all the data have been inserted in the tables above,</w:t>
      </w:r>
      <w:r w:rsidR="008B3D1D">
        <w:t xml:space="preserve"> the user</w:t>
      </w:r>
      <w:r>
        <w:t xml:space="preserve"> can move to the next step by clicking </w:t>
      </w:r>
      <w:r>
        <w:rPr>
          <w:color w:val="0070C0"/>
        </w:rPr>
        <w:t>“Go to Step 5”</w:t>
      </w:r>
      <w:r>
        <w:t>.</w:t>
      </w:r>
      <w:r w:rsidR="00031C40">
        <w:t xml:space="preserve"> </w:t>
      </w:r>
    </w:p>
    <w:p w14:paraId="202FC1B7" w14:textId="15F7AC54" w:rsidR="001838B8" w:rsidRDefault="00A731EB" w:rsidP="00A92CC7">
      <w:pPr>
        <w:pStyle w:val="Heading2"/>
        <w:rPr>
          <w:color w:val="5B9BD5"/>
          <w:sz w:val="24"/>
          <w:szCs w:val="24"/>
          <w:u w:val="single"/>
        </w:rPr>
      </w:pPr>
      <w:bookmarkStart w:id="11" w:name="_Toc151557930"/>
      <w:r>
        <w:rPr>
          <w:color w:val="5B9BD5"/>
          <w:sz w:val="24"/>
          <w:szCs w:val="24"/>
          <w:u w:val="single"/>
        </w:rPr>
        <w:t>STEP 5 = The BAU projected Energy Balances sheet:</w:t>
      </w:r>
      <w:bookmarkEnd w:id="11"/>
    </w:p>
    <w:p w14:paraId="202FC1B8" w14:textId="6619CF43" w:rsidR="001838B8" w:rsidRDefault="00A731EB">
      <w:pPr>
        <w:jc w:val="both"/>
      </w:pPr>
      <w:r>
        <w:t xml:space="preserve">This spreadsheet includes the tables for the future energy balances for the years 2025, 2030, 2035, </w:t>
      </w:r>
      <w:r w:rsidR="00A33C30">
        <w:t xml:space="preserve">2040, 2045, </w:t>
      </w:r>
      <w:r>
        <w:t>and 2050</w:t>
      </w:r>
      <w:r w:rsidR="00366DB8">
        <w:t xml:space="preserve"> in BAU scenario</w:t>
      </w:r>
      <w:r>
        <w:t xml:space="preserve">. The data in this sheet are automatically calculated by </w:t>
      </w:r>
      <w:r w:rsidR="0015512B">
        <w:t xml:space="preserve">the </w:t>
      </w:r>
      <w:r>
        <w:t>GACMO</w:t>
      </w:r>
      <w:r w:rsidR="0015512B">
        <w:t xml:space="preserve"> tool</w:t>
      </w:r>
      <w:r>
        <w:t xml:space="preserve">. The user can navigate between the tables of the different years by clicking on the </w:t>
      </w:r>
      <w:r>
        <w:rPr>
          <w:color w:val="0070C0"/>
        </w:rPr>
        <w:t xml:space="preserve">Year </w:t>
      </w:r>
      <w:r>
        <w:t xml:space="preserve">that needs to be displayed. </w:t>
      </w:r>
    </w:p>
    <w:p w14:paraId="202FC1B9" w14:textId="5CEDF6DD" w:rsidR="001838B8" w:rsidRDefault="00A731EB">
      <w:pPr>
        <w:jc w:val="both"/>
      </w:pPr>
      <w:r>
        <w:t xml:space="preserve">Two tables are available on this sheet: the </w:t>
      </w:r>
      <w:r>
        <w:rPr>
          <w:i/>
        </w:rPr>
        <w:t xml:space="preserve">Fossil fuel balance – year – Country X </w:t>
      </w:r>
      <w:r>
        <w:t xml:space="preserve">and the </w:t>
      </w:r>
      <w:r>
        <w:rPr>
          <w:i/>
        </w:rPr>
        <w:t>Electricity balance – year</w:t>
      </w:r>
      <w:r>
        <w:t xml:space="preserve">. </w:t>
      </w:r>
    </w:p>
    <w:p w14:paraId="202FC1BA" w14:textId="77777777" w:rsidR="001838B8" w:rsidRDefault="00A731EB">
      <w:pPr>
        <w:jc w:val="both"/>
      </w:pPr>
      <w:r>
        <w:t xml:space="preserve">The first table </w:t>
      </w:r>
      <w:r>
        <w:rPr>
          <w:i/>
        </w:rPr>
        <w:t>Fossil fuel balance – year – Country X</w:t>
      </w:r>
      <w:r>
        <w:t xml:space="preserve"> can be displayed with the data in TJ or in </w:t>
      </w:r>
      <w:proofErr w:type="spellStart"/>
      <w:r>
        <w:t>ktoe</w:t>
      </w:r>
      <w:proofErr w:type="spellEnd"/>
      <w:r>
        <w:t xml:space="preserve"> unit. The user can navigate between the two types of units by clicking on the </w:t>
      </w:r>
      <w:r>
        <w:rPr>
          <w:color w:val="0070C0"/>
        </w:rPr>
        <w:t xml:space="preserve">Unit </w:t>
      </w:r>
      <w:r>
        <w:t>that needs to be displayed.</w:t>
      </w:r>
    </w:p>
    <w:p w14:paraId="202FC1BB" w14:textId="4AFFCB63" w:rsidR="001838B8" w:rsidRDefault="00A731EB">
      <w:pPr>
        <w:jc w:val="both"/>
      </w:pPr>
      <w:r>
        <w:t xml:space="preserve">The user should in principle not modify any of the data either in the table </w:t>
      </w:r>
      <w:r>
        <w:rPr>
          <w:i/>
        </w:rPr>
        <w:t>Fossil fuel balance – year – Country X</w:t>
      </w:r>
      <w:r>
        <w:t xml:space="preserve">, or in the table </w:t>
      </w:r>
      <w:r>
        <w:rPr>
          <w:i/>
        </w:rPr>
        <w:t>Electricity balance – year</w:t>
      </w:r>
      <w:r>
        <w:t xml:space="preserve">. Exceptionally, a user may decide to modify a specific data in one of these tables in the case that the user would like to reflect a change in the energy </w:t>
      </w:r>
      <w:r w:rsidR="00BE6559">
        <w:t xml:space="preserve">balance </w:t>
      </w:r>
      <w:r>
        <w:t xml:space="preserve">which is not </w:t>
      </w:r>
      <w:proofErr w:type="gramStart"/>
      <w:r>
        <w:t>taken into account</w:t>
      </w:r>
      <w:proofErr w:type="gramEnd"/>
      <w:r>
        <w:t xml:space="preserve"> by the projections made by </w:t>
      </w:r>
      <w:r w:rsidR="002A62C0">
        <w:t xml:space="preserve">the </w:t>
      </w:r>
      <w:r>
        <w:t>GACMO</w:t>
      </w:r>
      <w:r w:rsidR="002A62C0">
        <w:t xml:space="preserve"> tool</w:t>
      </w:r>
      <w:r>
        <w:t>. The user should only make such a change if he/she is completely familiar with those types of data as the change will have an impact on the emissions scenarios and results obtained.</w:t>
      </w:r>
    </w:p>
    <w:p w14:paraId="202FC1BD" w14:textId="7989AFC0" w:rsidR="001838B8" w:rsidRDefault="00A731EB">
      <w:pPr>
        <w:jc w:val="both"/>
      </w:pPr>
      <w:r>
        <w:lastRenderedPageBreak/>
        <w:t xml:space="preserve">Once the data of the tables have been reviewed, </w:t>
      </w:r>
      <w:r w:rsidR="00AC1BEF">
        <w:t xml:space="preserve">the user </w:t>
      </w:r>
      <w:r>
        <w:t xml:space="preserve">can move to the next step by clicking </w:t>
      </w:r>
      <w:r>
        <w:rPr>
          <w:color w:val="0070C0"/>
        </w:rPr>
        <w:t>“Go to Step 6”</w:t>
      </w:r>
      <w:r>
        <w:t>.</w:t>
      </w:r>
    </w:p>
    <w:p w14:paraId="202FC1BF" w14:textId="393E838D" w:rsidR="001838B8" w:rsidRDefault="00A731EB" w:rsidP="005D5A5C">
      <w:pPr>
        <w:pStyle w:val="Heading2"/>
        <w:rPr>
          <w:color w:val="5B9BD5"/>
          <w:sz w:val="24"/>
          <w:szCs w:val="24"/>
          <w:u w:val="single"/>
        </w:rPr>
      </w:pPr>
      <w:bookmarkStart w:id="12" w:name="_Toc151557931"/>
      <w:r>
        <w:rPr>
          <w:color w:val="5B9BD5"/>
          <w:sz w:val="24"/>
          <w:szCs w:val="24"/>
          <w:u w:val="single"/>
        </w:rPr>
        <w:t>STEP 6 = The BAU projected GHG Balances sheet:</w:t>
      </w:r>
      <w:bookmarkEnd w:id="12"/>
    </w:p>
    <w:p w14:paraId="202FC1C0" w14:textId="04978BC1" w:rsidR="001838B8" w:rsidRDefault="00A731EB">
      <w:pPr>
        <w:jc w:val="both"/>
        <w:rPr>
          <w:b/>
          <w:i/>
        </w:rPr>
      </w:pPr>
      <w:r>
        <w:t xml:space="preserve">This spreadsheet includes the tables for the </w:t>
      </w:r>
      <w:r w:rsidR="0068537E">
        <w:t>GHG</w:t>
      </w:r>
      <w:r>
        <w:t xml:space="preserve"> emissions </w:t>
      </w:r>
      <w:r w:rsidR="00492D48">
        <w:t>in the BAU scenario</w:t>
      </w:r>
      <w:r>
        <w:t xml:space="preserve"> for the years 2025, 2030, 2035, </w:t>
      </w:r>
      <w:r w:rsidR="00A33C30">
        <w:t xml:space="preserve">2040, 2045, </w:t>
      </w:r>
      <w:r>
        <w:t>and 2050. The data in this sheet are automatically calculated by</w:t>
      </w:r>
      <w:r w:rsidR="002A62C0">
        <w:t xml:space="preserve"> the</w:t>
      </w:r>
      <w:r>
        <w:t xml:space="preserve"> GACMO</w:t>
      </w:r>
      <w:r w:rsidR="002A62C0">
        <w:t xml:space="preserve"> tool</w:t>
      </w:r>
      <w:r>
        <w:t xml:space="preserve">. The user can navigate between the tables of the different years by clicking on the </w:t>
      </w:r>
      <w:r>
        <w:rPr>
          <w:color w:val="0070C0"/>
        </w:rPr>
        <w:t xml:space="preserve">Year </w:t>
      </w:r>
      <w:r>
        <w:t xml:space="preserve">that needs to be displayed. </w:t>
      </w:r>
      <w:r>
        <w:rPr>
          <w:b/>
          <w:i/>
        </w:rPr>
        <w:t xml:space="preserve">Based on the projections toward the years 2025, 2030, 2035, </w:t>
      </w:r>
      <w:r w:rsidR="00A33C30" w:rsidRPr="00A33C30">
        <w:rPr>
          <w:b/>
          <w:i/>
        </w:rPr>
        <w:t xml:space="preserve">2040, 2045, </w:t>
      </w:r>
      <w:r>
        <w:rPr>
          <w:b/>
          <w:i/>
        </w:rPr>
        <w:t xml:space="preserve">and 2050, </w:t>
      </w:r>
      <w:r w:rsidR="00A82D6E">
        <w:rPr>
          <w:b/>
          <w:i/>
        </w:rPr>
        <w:t xml:space="preserve">the </w:t>
      </w:r>
      <w:r>
        <w:rPr>
          <w:b/>
          <w:i/>
        </w:rPr>
        <w:t>GACMO</w:t>
      </w:r>
      <w:r w:rsidR="00A82D6E">
        <w:rPr>
          <w:b/>
          <w:i/>
        </w:rPr>
        <w:t xml:space="preserve"> tool</w:t>
      </w:r>
      <w:r>
        <w:rPr>
          <w:b/>
          <w:i/>
        </w:rPr>
        <w:t xml:space="preserve"> will draw a curve in a graph made of the years (as X-</w:t>
      </w:r>
      <w:r w:rsidR="00492D48">
        <w:rPr>
          <w:b/>
          <w:i/>
        </w:rPr>
        <w:t>axis</w:t>
      </w:r>
      <w:r>
        <w:rPr>
          <w:b/>
          <w:i/>
        </w:rPr>
        <w:t>) and the emissions (as Y-ax</w:t>
      </w:r>
      <w:r w:rsidR="00492D48">
        <w:rPr>
          <w:b/>
          <w:i/>
        </w:rPr>
        <w:t>is</w:t>
      </w:r>
      <w:r>
        <w:rPr>
          <w:b/>
          <w:i/>
        </w:rPr>
        <w:t>) by connecting the points. This curve is the BAU scenario.</w:t>
      </w:r>
    </w:p>
    <w:p w14:paraId="0D3CA750" w14:textId="3EAC732B" w:rsidR="00934DE6" w:rsidRPr="001C19EB" w:rsidRDefault="006F11D6">
      <w:pPr>
        <w:jc w:val="both"/>
        <w:rPr>
          <w:bCs/>
          <w:iCs/>
        </w:rPr>
      </w:pPr>
      <w:r w:rsidRPr="006345D2">
        <w:rPr>
          <w:bCs/>
          <w:iCs/>
        </w:rPr>
        <w:t>The f</w:t>
      </w:r>
      <w:r w:rsidR="00934DE6" w:rsidRPr="001C19EB">
        <w:rPr>
          <w:bCs/>
          <w:iCs/>
        </w:rPr>
        <w:t xml:space="preserve">ormulas behind the calculations </w:t>
      </w:r>
      <w:r w:rsidR="001F63AD" w:rsidRPr="006345D2">
        <w:rPr>
          <w:bCs/>
          <w:iCs/>
        </w:rPr>
        <w:t xml:space="preserve">of the GHG emission in the BAU scenario </w:t>
      </w:r>
      <w:r w:rsidR="00F55969" w:rsidRPr="006345D2">
        <w:rPr>
          <w:bCs/>
          <w:iCs/>
        </w:rPr>
        <w:t xml:space="preserve">for the future years </w:t>
      </w:r>
      <w:r w:rsidR="00934DE6" w:rsidRPr="001C19EB">
        <w:rPr>
          <w:bCs/>
          <w:iCs/>
        </w:rPr>
        <w:t>are shown below.</w:t>
      </w:r>
    </w:p>
    <w:p w14:paraId="7AB34DAF" w14:textId="19C7A937" w:rsidR="008D542D" w:rsidRPr="006345D2" w:rsidRDefault="0093669C" w:rsidP="008D542D">
      <w:pPr>
        <w:jc w:val="both"/>
      </w:pPr>
      <m:oMathPara>
        <m:oMath>
          <m:sSub>
            <m:sSubPr>
              <m:ctrlPr>
                <w:rPr>
                  <w:rFonts w:ascii="Cambria Math" w:hAnsi="Cambria Math"/>
                  <w:b/>
                  <w:i/>
                </w:rPr>
              </m:ctrlPr>
            </m:sSubPr>
            <m:e>
              <m:r>
                <w:rPr>
                  <w:rFonts w:ascii="Cambria Math" w:hAnsi="Cambria Math"/>
                </w:rPr>
                <m:t>Emissions</m:t>
              </m:r>
            </m:e>
            <m:sub>
              <m:r>
                <w:rPr>
                  <w:rFonts w:ascii="Cambria Math" w:hAnsi="Cambria Math"/>
                </w:rPr>
                <m:t>BAU scenario</m:t>
              </m:r>
            </m:sub>
          </m:sSub>
          <m:r>
            <w:rPr>
              <w:rFonts w:ascii="Cambria Math" w:hAnsi="Cambria Math"/>
            </w:rPr>
            <m:t>=</m:t>
          </m:r>
          <m:nary>
            <m:naryPr>
              <m:chr m:val="∑"/>
              <m:limLoc m:val="undOvr"/>
              <m:subHide m:val="1"/>
              <m:supHide m:val="1"/>
              <m:ctrlPr>
                <w:rPr>
                  <w:rFonts w:ascii="Cambria Math" w:hAnsi="Cambria Math"/>
                  <w:bCs/>
                  <w:i/>
                </w:rPr>
              </m:ctrlPr>
            </m:naryPr>
            <m:sub/>
            <m:sup/>
            <m:e>
              <m:sSub>
                <m:sSubPr>
                  <m:ctrlPr>
                    <w:rPr>
                      <w:rFonts w:ascii="Cambria Math" w:hAnsi="Cambria Math"/>
                      <w:bCs/>
                      <w:i/>
                    </w:rPr>
                  </m:ctrlPr>
                </m:sSubPr>
                <m:e>
                  <m:r>
                    <w:rPr>
                      <w:rFonts w:ascii="Cambria Math" w:hAnsi="Cambria Math"/>
                    </w:rPr>
                    <m:t>Emissions</m:t>
                  </m:r>
                </m:e>
                <m:sub>
                  <m:r>
                    <w:rPr>
                      <w:rFonts w:ascii="Cambria Math" w:hAnsi="Cambria Math"/>
                    </w:rPr>
                    <m:t>CO2 emissions from fuel combustion</m:t>
                  </m:r>
                </m:sub>
              </m:sSub>
            </m:e>
          </m:nary>
          <m:r>
            <w:rPr>
              <w:rFonts w:ascii="Cambria Math" w:hAnsi="Cambria Math"/>
            </w:rPr>
            <m:t>+</m:t>
          </m:r>
          <m:nary>
            <m:naryPr>
              <m:chr m:val="∑"/>
              <m:limLoc m:val="undOvr"/>
              <m:subHide m:val="1"/>
              <m:supHide m:val="1"/>
              <m:ctrlPr>
                <w:rPr>
                  <w:rFonts w:ascii="Cambria Math" w:hAnsi="Cambria Math"/>
                  <w:bCs/>
                  <w:i/>
                </w:rPr>
              </m:ctrlPr>
            </m:naryPr>
            <m:sub/>
            <m:sup/>
            <m:e>
              <m:sSub>
                <m:sSubPr>
                  <m:ctrlPr>
                    <w:rPr>
                      <w:rFonts w:ascii="Cambria Math" w:hAnsi="Cambria Math"/>
                      <w:bCs/>
                      <w:i/>
                    </w:rPr>
                  </m:ctrlPr>
                </m:sSubPr>
                <m:e>
                  <m:r>
                    <w:rPr>
                      <w:rFonts w:ascii="Cambria Math" w:hAnsi="Cambria Math"/>
                    </w:rPr>
                    <m:t>Emissions</m:t>
                  </m:r>
                </m:e>
                <m:sub>
                  <m:r>
                    <w:rPr>
                      <w:rFonts w:ascii="Cambria Math" w:hAnsi="Cambria Math"/>
                    </w:rPr>
                    <m:t>Non-CO2 emissions,  non-fuel combustion sectors</m:t>
                  </m:r>
                </m:sub>
              </m:sSub>
            </m:e>
          </m:nary>
        </m:oMath>
      </m:oMathPara>
    </w:p>
    <w:p w14:paraId="17F88B5B" w14:textId="74EF7FD3" w:rsidR="008D542D" w:rsidRPr="006345D2" w:rsidRDefault="0093669C" w:rsidP="008D542D">
      <w:pPr>
        <w:jc w:val="both"/>
        <w:rPr>
          <w:bCs/>
        </w:rPr>
      </w:pPr>
      <m:oMathPara>
        <m:oMath>
          <m:sSub>
            <m:sSubPr>
              <m:ctrlPr>
                <w:rPr>
                  <w:rFonts w:ascii="Cambria Math" w:hAnsi="Cambria Math"/>
                  <w:bCs/>
                  <w:i/>
                </w:rPr>
              </m:ctrlPr>
            </m:sSubPr>
            <m:e>
              <m:r>
                <w:rPr>
                  <w:rFonts w:ascii="Cambria Math" w:hAnsi="Cambria Math"/>
                </w:rPr>
                <m:t>Emissions</m:t>
              </m:r>
            </m:e>
            <m:sub>
              <m:r>
                <w:rPr>
                  <w:rFonts w:ascii="Cambria Math" w:hAnsi="Cambria Math"/>
                </w:rPr>
                <m:t>CO2 emissions from fuel combustion</m:t>
              </m:r>
            </m:sub>
          </m:sSub>
          <m:r>
            <w:rPr>
              <w:rFonts w:ascii="Cambria Math" w:hAnsi="Cambria Math"/>
            </w:rPr>
            <m:t>=</m:t>
          </m:r>
          <m:nary>
            <m:naryPr>
              <m:chr m:val="∑"/>
              <m:limLoc m:val="undOvr"/>
              <m:subHide m:val="1"/>
              <m:supHide m:val="1"/>
              <m:ctrlPr>
                <w:rPr>
                  <w:rFonts w:ascii="Cambria Math" w:hAnsi="Cambria Math"/>
                  <w:bCs/>
                  <w:i/>
                </w:rPr>
              </m:ctrlPr>
            </m:naryPr>
            <m:sub/>
            <m:sup/>
            <m:e>
              <m:sSub>
                <m:sSubPr>
                  <m:ctrlPr>
                    <w:rPr>
                      <w:rFonts w:ascii="Cambria Math" w:hAnsi="Cambria Math"/>
                      <w:bCs/>
                      <w:i/>
                    </w:rPr>
                  </m:ctrlPr>
                </m:sSubPr>
                <m:e>
                  <m:r>
                    <w:rPr>
                      <w:rFonts w:ascii="Cambria Math" w:hAnsi="Cambria Math"/>
                    </w:rPr>
                    <m:t>Energy consumption in BAU scenario</m:t>
                  </m:r>
                </m:e>
                <m:sub>
                  <m:r>
                    <w:rPr>
                      <w:rFonts w:ascii="Cambria Math" w:hAnsi="Cambria Math"/>
                    </w:rPr>
                    <m:t xml:space="preserve"> Sector, Fuel</m:t>
                  </m:r>
                </m:sub>
              </m:sSub>
              <m:r>
                <w:rPr>
                  <w:rFonts w:ascii="Cambria Math" w:hAnsi="Cambria Math"/>
                </w:rPr>
                <m:t>×</m:t>
              </m:r>
              <m:sSub>
                <m:sSubPr>
                  <m:ctrlPr>
                    <w:rPr>
                      <w:rFonts w:ascii="Cambria Math" w:hAnsi="Cambria Math"/>
                      <w:bCs/>
                      <w:i/>
                    </w:rPr>
                  </m:ctrlPr>
                </m:sSubPr>
                <m:e>
                  <m:r>
                    <w:rPr>
                      <w:rFonts w:ascii="Cambria Math" w:hAnsi="Cambria Math"/>
                    </w:rPr>
                    <m:t>Emission factor</m:t>
                  </m:r>
                </m:e>
                <m:sub>
                  <m:r>
                    <w:rPr>
                      <w:rFonts w:ascii="Cambria Math" w:hAnsi="Cambria Math"/>
                    </w:rPr>
                    <m:t>Sector,Fuel</m:t>
                  </m:r>
                </m:sub>
              </m:sSub>
            </m:e>
          </m:nary>
        </m:oMath>
      </m:oMathPara>
    </w:p>
    <w:p w14:paraId="5C175674" w14:textId="234B3EBC" w:rsidR="00086FDB" w:rsidRPr="006345D2" w:rsidRDefault="0093669C" w:rsidP="008D542D">
      <w:pPr>
        <w:jc w:val="both"/>
      </w:pPr>
      <m:oMathPara>
        <m:oMath>
          <m:sSub>
            <m:sSubPr>
              <m:ctrlPr>
                <w:rPr>
                  <w:rFonts w:ascii="Cambria Math" w:hAnsi="Cambria Math"/>
                  <w:bCs/>
                  <w:i/>
                </w:rPr>
              </m:ctrlPr>
            </m:sSubPr>
            <m:e>
              <m:r>
                <w:rPr>
                  <w:rFonts w:ascii="Cambria Math" w:hAnsi="Cambria Math"/>
                </w:rPr>
                <m:t>Energy consumption in BAU scenario</m:t>
              </m:r>
            </m:e>
            <m:sub>
              <m:r>
                <w:rPr>
                  <w:rFonts w:ascii="Cambria Math" w:hAnsi="Cambria Math"/>
                </w:rPr>
                <m:t xml:space="preserve"> Sector, Fuel</m:t>
              </m:r>
            </m:sub>
          </m:sSub>
          <m:r>
            <w:rPr>
              <w:rFonts w:ascii="Cambria Math" w:hAnsi="Cambria Math"/>
            </w:rPr>
            <m:t>=</m:t>
          </m:r>
          <m:sSub>
            <m:sSubPr>
              <m:ctrlPr>
                <w:rPr>
                  <w:rFonts w:ascii="Cambria Math" w:hAnsi="Cambria Math"/>
                  <w:bCs/>
                  <w:i/>
                </w:rPr>
              </m:ctrlPr>
            </m:sSubPr>
            <m:e>
              <m:r>
                <w:rPr>
                  <w:rFonts w:ascii="Cambria Math" w:hAnsi="Cambria Math"/>
                </w:rPr>
                <m:t>Energy consumption</m:t>
              </m:r>
            </m:e>
            <m:sub>
              <m:r>
                <w:rPr>
                  <w:rFonts w:ascii="Cambria Math" w:hAnsi="Cambria Math"/>
                </w:rPr>
                <m:t>Start Year,  Sector,  Fuel</m:t>
              </m:r>
            </m:sub>
          </m:sSub>
          <m:r>
            <w:rPr>
              <w:rFonts w:ascii="Cambria Math" w:hAnsi="Cambria Math"/>
            </w:rPr>
            <m:t>×</m:t>
          </m:r>
          <m:sSub>
            <m:sSubPr>
              <m:ctrlPr>
                <w:rPr>
                  <w:rFonts w:ascii="Cambria Math" w:hAnsi="Cambria Math"/>
                  <w:bCs/>
                  <w:i/>
                </w:rPr>
              </m:ctrlPr>
            </m:sSubPr>
            <m:e>
              <m:r>
                <w:rPr>
                  <w:rFonts w:ascii="Cambria Math" w:hAnsi="Cambria Math"/>
                </w:rPr>
                <m:t>Growth Rate</m:t>
              </m:r>
            </m:e>
            <m:sub>
              <m:r>
                <w:rPr>
                  <w:rFonts w:ascii="Cambria Math" w:hAnsi="Cambria Math"/>
                </w:rPr>
                <m:t>Sector,  Fuel</m:t>
              </m:r>
            </m:sub>
          </m:sSub>
        </m:oMath>
      </m:oMathPara>
    </w:p>
    <w:p w14:paraId="112B3DA0" w14:textId="511C640A" w:rsidR="00A84826" w:rsidRDefault="0093669C" w:rsidP="00A84826">
      <w:pPr>
        <w:jc w:val="both"/>
      </w:pPr>
      <m:oMathPara>
        <m:oMath>
          <m:sSub>
            <m:sSubPr>
              <m:ctrlPr>
                <w:rPr>
                  <w:rFonts w:ascii="Cambria Math" w:hAnsi="Cambria Math"/>
                  <w:bCs/>
                  <w:i/>
                </w:rPr>
              </m:ctrlPr>
            </m:sSubPr>
            <m:e>
              <m:r>
                <w:rPr>
                  <w:rFonts w:ascii="Cambria Math" w:hAnsi="Cambria Math"/>
                </w:rPr>
                <m:t>Emissions</m:t>
              </m:r>
            </m:e>
            <m:sub>
              <m:r>
                <w:rPr>
                  <w:rFonts w:ascii="Cambria Math" w:hAnsi="Cambria Math"/>
                </w:rPr>
                <m:t>non-CO2 emissions, non-fuel combustion sectors</m:t>
              </m:r>
            </m:sub>
          </m:sSub>
          <m:r>
            <w:rPr>
              <w:rFonts w:ascii="Cambria Math" w:hAnsi="Cambria Math"/>
            </w:rPr>
            <m:t>=</m:t>
          </m:r>
          <m:nary>
            <m:naryPr>
              <m:chr m:val="∑"/>
              <m:limLoc m:val="undOvr"/>
              <m:subHide m:val="1"/>
              <m:supHide m:val="1"/>
              <m:ctrlPr>
                <w:rPr>
                  <w:rFonts w:ascii="Cambria Math" w:hAnsi="Cambria Math"/>
                  <w:bCs/>
                  <w:i/>
                </w:rPr>
              </m:ctrlPr>
            </m:naryPr>
            <m:sub/>
            <m:sup/>
            <m:e>
              <m:sSub>
                <m:sSubPr>
                  <m:ctrlPr>
                    <w:rPr>
                      <w:rFonts w:ascii="Cambria Math" w:hAnsi="Cambria Math"/>
                      <w:bCs/>
                      <w:i/>
                    </w:rPr>
                  </m:ctrlPr>
                </m:sSubPr>
                <m:e>
                  <m:r>
                    <w:rPr>
                      <w:rFonts w:ascii="Cambria Math" w:hAnsi="Cambria Math"/>
                    </w:rPr>
                    <m:t>Emissions</m:t>
                  </m:r>
                </m:e>
                <m:sub>
                  <m:r>
                    <w:rPr>
                      <w:rFonts w:ascii="Cambria Math" w:hAnsi="Cambria Math"/>
                    </w:rPr>
                    <m:t>Start Year</m:t>
                  </m:r>
                </m:sub>
              </m:sSub>
            </m:e>
          </m:nary>
          <m:r>
            <w:rPr>
              <w:rFonts w:ascii="Cambria Math" w:hAnsi="Cambria Math"/>
            </w:rPr>
            <m:t>×</m:t>
          </m:r>
          <m:sSub>
            <m:sSubPr>
              <m:ctrlPr>
                <w:rPr>
                  <w:rFonts w:ascii="Cambria Math" w:hAnsi="Cambria Math"/>
                  <w:bCs/>
                  <w:i/>
                </w:rPr>
              </m:ctrlPr>
            </m:sSubPr>
            <m:e>
              <m:r>
                <w:rPr>
                  <w:rFonts w:ascii="Cambria Math" w:hAnsi="Cambria Math"/>
                </w:rPr>
                <m:t>Growth Rates</m:t>
              </m:r>
            </m:e>
            <m:sub>
              <m:r>
                <w:rPr>
                  <w:rFonts w:ascii="Cambria Math" w:hAnsi="Cambria Math"/>
                </w:rPr>
                <m:t>sector</m:t>
              </m:r>
            </m:sub>
          </m:sSub>
        </m:oMath>
      </m:oMathPara>
    </w:p>
    <w:p w14:paraId="202FC1C2" w14:textId="5A6A1F61" w:rsidR="001838B8" w:rsidRDefault="00A731EB">
      <w:pPr>
        <w:jc w:val="both"/>
      </w:pPr>
      <w:bookmarkStart w:id="13" w:name="_heading=h.1t3h5sf" w:colFirst="0" w:colLast="0"/>
      <w:bookmarkEnd w:id="13"/>
      <w:r>
        <w:t xml:space="preserve">Two tables are available on this sheet: the </w:t>
      </w:r>
      <w:r w:rsidR="00DC2DB1" w:rsidRPr="001C19EB">
        <w:rPr>
          <w:i/>
          <w:iCs/>
        </w:rPr>
        <w:t>CO</w:t>
      </w:r>
      <w:r w:rsidR="00DC2DB1" w:rsidRPr="001C19EB">
        <w:rPr>
          <w:i/>
          <w:iCs/>
          <w:vertAlign w:val="subscript"/>
        </w:rPr>
        <w:t>2</w:t>
      </w:r>
      <w:r w:rsidR="00DC2DB1" w:rsidRPr="001C19EB">
        <w:rPr>
          <w:i/>
          <w:iCs/>
        </w:rPr>
        <w:t xml:space="preserve"> emissions from fuel combustion</w:t>
      </w:r>
      <w:r w:rsidRPr="00620945">
        <w:rPr>
          <w:i/>
          <w:iCs/>
        </w:rPr>
        <w:t xml:space="preserve"> – year – Country X</w:t>
      </w:r>
      <w:r>
        <w:rPr>
          <w:i/>
        </w:rPr>
        <w:t xml:space="preserve"> </w:t>
      </w:r>
      <w:r>
        <w:t xml:space="preserve">and the </w:t>
      </w:r>
      <w:r w:rsidR="007F0B3E" w:rsidRPr="007F0B3E">
        <w:rPr>
          <w:i/>
        </w:rPr>
        <w:t>Non-CO</w:t>
      </w:r>
      <w:r w:rsidR="007F0B3E" w:rsidRPr="001C19EB">
        <w:rPr>
          <w:i/>
          <w:vertAlign w:val="subscript"/>
        </w:rPr>
        <w:t>2</w:t>
      </w:r>
      <w:r w:rsidR="007F0B3E" w:rsidRPr="007F0B3E">
        <w:rPr>
          <w:i/>
        </w:rPr>
        <w:t xml:space="preserve"> emissions</w:t>
      </w:r>
      <w:r w:rsidR="00775872">
        <w:rPr>
          <w:i/>
        </w:rPr>
        <w:t xml:space="preserve"> from fuel combustion</w:t>
      </w:r>
      <w:r w:rsidR="007F0B3E" w:rsidRPr="007F0B3E">
        <w:rPr>
          <w:i/>
        </w:rPr>
        <w:t xml:space="preserve">, non-fuel combustion sectors </w:t>
      </w:r>
      <w:r>
        <w:rPr>
          <w:i/>
        </w:rPr>
        <w:t>balances</w:t>
      </w:r>
      <w:r>
        <w:t>.</w:t>
      </w:r>
      <w:r w:rsidR="00492D48">
        <w:t xml:space="preserve"> </w:t>
      </w:r>
    </w:p>
    <w:p w14:paraId="202FC1C3" w14:textId="27719C6C" w:rsidR="001838B8" w:rsidRDefault="00A44010">
      <w:pPr>
        <w:jc w:val="both"/>
      </w:pPr>
      <w:r>
        <w:t>In principle, t</w:t>
      </w:r>
      <w:r w:rsidR="00A731EB">
        <w:t xml:space="preserve">he user should not modify any of the data either in the table </w:t>
      </w:r>
      <w:r w:rsidR="00DC2DB1" w:rsidRPr="001C19EB">
        <w:rPr>
          <w:i/>
        </w:rPr>
        <w:t>CO</w:t>
      </w:r>
      <w:r w:rsidR="00DC2DB1" w:rsidRPr="001C19EB">
        <w:rPr>
          <w:i/>
          <w:vertAlign w:val="subscript"/>
        </w:rPr>
        <w:t>2</w:t>
      </w:r>
      <w:r w:rsidR="00DC2DB1" w:rsidRPr="001C19EB">
        <w:rPr>
          <w:i/>
        </w:rPr>
        <w:t xml:space="preserve"> emissions from fuel combustion </w:t>
      </w:r>
      <w:r w:rsidR="00A731EB">
        <w:rPr>
          <w:i/>
        </w:rPr>
        <w:t>– year – Country X</w:t>
      </w:r>
      <w:r w:rsidR="00A731EB">
        <w:t xml:space="preserve">, or in the table </w:t>
      </w:r>
      <w:proofErr w:type="gramStart"/>
      <w:r w:rsidR="007F0B3E" w:rsidRPr="007F0B3E">
        <w:rPr>
          <w:i/>
        </w:rPr>
        <w:t>Non-CO</w:t>
      </w:r>
      <w:r w:rsidR="007F0B3E" w:rsidRPr="001C19EB">
        <w:rPr>
          <w:i/>
          <w:vertAlign w:val="subscript"/>
        </w:rPr>
        <w:t>2</w:t>
      </w:r>
      <w:proofErr w:type="gramEnd"/>
      <w:r w:rsidR="007F0B3E" w:rsidRPr="007F0B3E">
        <w:rPr>
          <w:i/>
        </w:rPr>
        <w:t xml:space="preserve"> emissions</w:t>
      </w:r>
      <w:r w:rsidR="00775872">
        <w:rPr>
          <w:i/>
        </w:rPr>
        <w:t xml:space="preserve"> from fuel combustion</w:t>
      </w:r>
      <w:r w:rsidR="007F0B3E" w:rsidRPr="007F0B3E">
        <w:rPr>
          <w:i/>
        </w:rPr>
        <w:t>, non-fuel combustion sectors</w:t>
      </w:r>
      <w:r w:rsidR="00A731EB">
        <w:t xml:space="preserve">. </w:t>
      </w:r>
      <w:r w:rsidR="008348A1">
        <w:t>In e</w:t>
      </w:r>
      <w:r w:rsidR="00A731EB">
        <w:t>xceptional</w:t>
      </w:r>
      <w:r w:rsidR="008348A1">
        <w:t xml:space="preserve"> cases</w:t>
      </w:r>
      <w:r w:rsidR="00A731EB">
        <w:t xml:space="preserve">, a user may </w:t>
      </w:r>
      <w:r w:rsidR="008348A1">
        <w:t>choose</w:t>
      </w:r>
      <w:r w:rsidR="00A731EB">
        <w:t xml:space="preserve"> to modify a specific data</w:t>
      </w:r>
      <w:r w:rsidR="008348A1">
        <w:t xml:space="preserve"> point</w:t>
      </w:r>
      <w:r w:rsidR="00A731EB">
        <w:t xml:space="preserve"> in one of these tables </w:t>
      </w:r>
      <w:r w:rsidR="008348A1">
        <w:t>if they</w:t>
      </w:r>
      <w:r w:rsidR="00A731EB">
        <w:t xml:space="preserve"> would like to reflect a change in the </w:t>
      </w:r>
      <w:r w:rsidR="0068537E">
        <w:t>GHG</w:t>
      </w:r>
      <w:r w:rsidR="00A731EB">
        <w:t xml:space="preserve"> emissions </w:t>
      </w:r>
      <w:r w:rsidR="0055582C">
        <w:t>that</w:t>
      </w:r>
      <w:r w:rsidR="00A731EB">
        <w:t xml:space="preserve"> is not </w:t>
      </w:r>
      <w:proofErr w:type="gramStart"/>
      <w:r w:rsidR="00A731EB">
        <w:t>taken into account</w:t>
      </w:r>
      <w:proofErr w:type="gramEnd"/>
      <w:r w:rsidR="00A731EB">
        <w:t xml:space="preserve"> by the projections made by </w:t>
      </w:r>
      <w:r w:rsidR="00A82D6E">
        <w:t xml:space="preserve">the </w:t>
      </w:r>
      <w:r w:rsidR="00A731EB">
        <w:t>GACMO</w:t>
      </w:r>
      <w:r w:rsidR="00A82D6E">
        <w:t xml:space="preserve"> tool</w:t>
      </w:r>
      <w:r w:rsidR="00A731EB">
        <w:t xml:space="preserve">. The user should only make such a change if </w:t>
      </w:r>
      <w:r w:rsidR="00A2189C">
        <w:t>they are</w:t>
      </w:r>
      <w:r w:rsidR="00A731EB">
        <w:t xml:space="preserve"> completely familiar with those types of data as the change will have an impact on the emissions scenarios and results obtained.</w:t>
      </w:r>
    </w:p>
    <w:p w14:paraId="202FC1C5" w14:textId="6678E32C" w:rsidR="001838B8" w:rsidRDefault="00A731EB">
      <w:pPr>
        <w:jc w:val="both"/>
      </w:pPr>
      <w:r>
        <w:t xml:space="preserve">Once the data of the tables have been reviewed, </w:t>
      </w:r>
      <w:r w:rsidR="00221444">
        <w:t>the user</w:t>
      </w:r>
      <w:r>
        <w:t xml:space="preserve"> can move to the next step by clicking </w:t>
      </w:r>
      <w:r>
        <w:rPr>
          <w:color w:val="0070C0"/>
        </w:rPr>
        <w:t>“Go to Step 7”</w:t>
      </w:r>
      <w:r>
        <w:t>.</w:t>
      </w:r>
    </w:p>
    <w:p w14:paraId="202FC1C7" w14:textId="743C0F52" w:rsidR="001838B8" w:rsidRDefault="00A731EB" w:rsidP="00BD4267">
      <w:pPr>
        <w:pStyle w:val="Heading2"/>
        <w:rPr>
          <w:color w:val="5B9BD5"/>
          <w:sz w:val="24"/>
          <w:szCs w:val="24"/>
          <w:u w:val="single"/>
        </w:rPr>
      </w:pPr>
      <w:bookmarkStart w:id="14" w:name="_heading=h.4d34og8" w:colFirst="0" w:colLast="0"/>
      <w:bookmarkStart w:id="15" w:name="_Toc151557932"/>
      <w:bookmarkEnd w:id="14"/>
      <w:r>
        <w:rPr>
          <w:color w:val="5B9BD5"/>
          <w:sz w:val="24"/>
          <w:szCs w:val="24"/>
          <w:u w:val="single"/>
        </w:rPr>
        <w:lastRenderedPageBreak/>
        <w:t>STEP 7 = The Mitigation Option sheet:</w:t>
      </w:r>
      <w:bookmarkEnd w:id="15"/>
    </w:p>
    <w:p w14:paraId="202FC1C8" w14:textId="77777777" w:rsidR="001838B8" w:rsidRDefault="00A731EB">
      <w:pPr>
        <w:jc w:val="both"/>
        <w:rPr>
          <w:color w:val="C55911"/>
        </w:rPr>
      </w:pPr>
      <w:r>
        <w:t xml:space="preserve">This spreadsheet includes the data relative to the mitigation options that the user will include in the mitigation scenario. </w:t>
      </w:r>
      <w:r>
        <w:rPr>
          <w:color w:val="C55911"/>
        </w:rPr>
        <w:t>This sheet must be filled in by the user.</w:t>
      </w:r>
    </w:p>
    <w:p w14:paraId="202FC1C9" w14:textId="24D8EBDA" w:rsidR="001838B8" w:rsidRDefault="00A731EB">
      <w:pPr>
        <w:jc w:val="both"/>
        <w:rPr>
          <w:b/>
          <w:i/>
        </w:rPr>
      </w:pPr>
      <w:r>
        <w:t xml:space="preserve">The mitigation scenario is established by estimating the emission reduction potentials (compared to the BAU) in the years 2025, 2030, 2035, </w:t>
      </w:r>
      <w:r w:rsidR="00A33C30">
        <w:t xml:space="preserve">2040, 2045, </w:t>
      </w:r>
      <w:r>
        <w:t xml:space="preserve">and 2050 </w:t>
      </w:r>
      <w:r w:rsidR="00084F15">
        <w:t>using</w:t>
      </w:r>
      <w:r>
        <w:t xml:space="preserve"> different </w:t>
      </w:r>
      <w:r w:rsidR="000825E1">
        <w:t xml:space="preserve">user-selected </w:t>
      </w:r>
      <w:r>
        <w:t xml:space="preserve">mitigation options </w:t>
      </w:r>
      <w:r w:rsidR="00107407">
        <w:t xml:space="preserve">that </w:t>
      </w:r>
      <w:r>
        <w:t xml:space="preserve">depend on the national context. </w:t>
      </w:r>
      <w:r>
        <w:rPr>
          <w:b/>
          <w:i/>
        </w:rPr>
        <w:t xml:space="preserve">Based on the emission reduction potentials estimated in the years 2025, 2030, 2035, </w:t>
      </w:r>
      <w:r w:rsidR="00A33C30" w:rsidRPr="00A33C30">
        <w:rPr>
          <w:b/>
          <w:i/>
        </w:rPr>
        <w:t>2040, 2045,</w:t>
      </w:r>
      <w:r w:rsidR="00A33C30">
        <w:t xml:space="preserve"> </w:t>
      </w:r>
      <w:r>
        <w:rPr>
          <w:b/>
          <w:i/>
        </w:rPr>
        <w:t xml:space="preserve">and 2050, </w:t>
      </w:r>
      <w:r w:rsidR="00A82D6E">
        <w:rPr>
          <w:b/>
          <w:i/>
        </w:rPr>
        <w:t xml:space="preserve">the </w:t>
      </w:r>
      <w:r>
        <w:rPr>
          <w:b/>
          <w:i/>
        </w:rPr>
        <w:t xml:space="preserve">GACMO </w:t>
      </w:r>
      <w:r w:rsidR="00A82D6E">
        <w:rPr>
          <w:b/>
          <w:i/>
        </w:rPr>
        <w:t xml:space="preserve">tool </w:t>
      </w:r>
      <w:r>
        <w:rPr>
          <w:b/>
          <w:i/>
        </w:rPr>
        <w:t>will draw a curve in a graph made of the years (as X-ax</w:t>
      </w:r>
      <w:r w:rsidR="00385EB2">
        <w:rPr>
          <w:b/>
          <w:i/>
        </w:rPr>
        <w:t>is</w:t>
      </w:r>
      <w:r>
        <w:rPr>
          <w:b/>
          <w:i/>
        </w:rPr>
        <w:t>) and the emissions (as Y-ax</w:t>
      </w:r>
      <w:r w:rsidR="00FA1BE8">
        <w:rPr>
          <w:b/>
          <w:i/>
        </w:rPr>
        <w:t>is</w:t>
      </w:r>
      <w:r>
        <w:rPr>
          <w:b/>
          <w:i/>
        </w:rPr>
        <w:t>) by connecting the points. This curve is the mitigation scenario.</w:t>
      </w:r>
    </w:p>
    <w:p w14:paraId="37E935C8" w14:textId="78F391AE" w:rsidR="00C11411" w:rsidRDefault="009E2782" w:rsidP="00C11411">
      <w:pPr>
        <w:jc w:val="both"/>
        <w:rPr>
          <w:bCs/>
          <w:iCs/>
        </w:rPr>
      </w:pPr>
      <w:r>
        <w:rPr>
          <w:bCs/>
          <w:iCs/>
        </w:rPr>
        <w:t>The formulas</w:t>
      </w:r>
      <w:r w:rsidR="00C11411" w:rsidRPr="009E2782">
        <w:rPr>
          <w:bCs/>
          <w:iCs/>
        </w:rPr>
        <w:t xml:space="preserve"> behind the calculations of GHG emissions in the mitigation scenario are shown below.</w:t>
      </w:r>
    </w:p>
    <w:p w14:paraId="08C0FF1E" w14:textId="77777777" w:rsidR="00C11411" w:rsidRPr="009E2782" w:rsidRDefault="0093669C" w:rsidP="00C11411">
      <w:pPr>
        <w:jc w:val="both"/>
        <w:rPr>
          <w:bCs/>
          <w:i/>
        </w:rPr>
      </w:pPr>
      <m:oMathPara>
        <m:oMath>
          <m:sSub>
            <m:sSubPr>
              <m:ctrlPr>
                <w:rPr>
                  <w:rFonts w:ascii="Cambria Math" w:hAnsi="Cambria Math"/>
                  <w:b/>
                  <w:i/>
                </w:rPr>
              </m:ctrlPr>
            </m:sSubPr>
            <m:e>
              <m:r>
                <w:rPr>
                  <w:rFonts w:ascii="Cambria Math" w:hAnsi="Cambria Math"/>
                </w:rPr>
                <m:t>Emissions</m:t>
              </m:r>
            </m:e>
            <m:sub>
              <m:r>
                <w:rPr>
                  <w:rFonts w:ascii="Cambria Math" w:hAnsi="Cambria Math"/>
                </w:rPr>
                <m:t>mitigation scenario</m:t>
              </m:r>
            </m:sub>
          </m:sSub>
          <m:r>
            <m:rPr>
              <m:sty m:val="bi"/>
            </m:rPr>
            <w:rPr>
              <w:rFonts w:ascii="Cambria Math" w:hAnsi="Cambria Math"/>
            </w:rPr>
            <m:t>=</m:t>
          </m:r>
          <m:sSub>
            <m:sSubPr>
              <m:ctrlPr>
                <w:rPr>
                  <w:rFonts w:ascii="Cambria Math" w:hAnsi="Cambria Math"/>
                  <w:bCs/>
                  <w:i/>
                </w:rPr>
              </m:ctrlPr>
            </m:sSubPr>
            <m:e>
              <m:r>
                <w:rPr>
                  <w:rFonts w:ascii="Cambria Math" w:hAnsi="Cambria Math"/>
                </w:rPr>
                <m:t>Emissions</m:t>
              </m:r>
            </m:e>
            <m:sub>
              <m:r>
                <w:rPr>
                  <w:rFonts w:ascii="Cambria Math" w:hAnsi="Cambria Math"/>
                </w:rPr>
                <m:t>BAU scenario</m:t>
              </m:r>
            </m:sub>
          </m:sSub>
          <m:r>
            <w:rPr>
              <w:rFonts w:ascii="Cambria Math" w:hAnsi="Cambria Math"/>
            </w:rPr>
            <m:t xml:space="preserve">-Total </m:t>
          </m:r>
          <m:sSub>
            <m:sSubPr>
              <m:ctrlPr>
                <w:rPr>
                  <w:rFonts w:ascii="Cambria Math" w:hAnsi="Cambria Math"/>
                  <w:bCs/>
                  <w:i/>
                </w:rPr>
              </m:ctrlPr>
            </m:sSubPr>
            <m:e>
              <m:r>
                <w:rPr>
                  <w:rFonts w:ascii="Cambria Math" w:hAnsi="Cambria Math"/>
                </w:rPr>
                <m:t>Emissions reduction</m:t>
              </m:r>
            </m:e>
            <m:sub>
              <m:r>
                <w:rPr>
                  <w:rFonts w:ascii="Cambria Math" w:hAnsi="Cambria Math"/>
                </w:rPr>
                <m:t>selected mitigation options</m:t>
              </m:r>
            </m:sub>
          </m:sSub>
        </m:oMath>
      </m:oMathPara>
    </w:p>
    <w:p w14:paraId="6F07E3FC" w14:textId="77777777" w:rsidR="00C11411" w:rsidRPr="009E2782" w:rsidRDefault="00C11411" w:rsidP="00C11411">
      <w:pPr>
        <w:jc w:val="both"/>
        <w:rPr>
          <w:bCs/>
        </w:rPr>
      </w:pPr>
      <m:oMathPara>
        <m:oMath>
          <m:r>
            <w:rPr>
              <w:rFonts w:ascii="Cambria Math" w:hAnsi="Cambria Math"/>
            </w:rPr>
            <m:t xml:space="preserve">Total </m:t>
          </m:r>
          <m:sSub>
            <m:sSubPr>
              <m:ctrlPr>
                <w:rPr>
                  <w:rFonts w:ascii="Cambria Math" w:hAnsi="Cambria Math"/>
                  <w:bCs/>
                  <w:i/>
                </w:rPr>
              </m:ctrlPr>
            </m:sSubPr>
            <m:e>
              <m:r>
                <w:rPr>
                  <w:rFonts w:ascii="Cambria Math" w:hAnsi="Cambria Math"/>
                </w:rPr>
                <m:t>Emissions reduction</m:t>
              </m:r>
            </m:e>
            <m:sub>
              <m:r>
                <w:rPr>
                  <w:rFonts w:ascii="Cambria Math" w:hAnsi="Cambria Math"/>
                </w:rPr>
                <m:t>selected mitigation options</m:t>
              </m:r>
            </m:sub>
          </m:sSub>
          <m:r>
            <w:rPr>
              <w:rFonts w:ascii="Cambria Math" w:hAnsi="Cambria Math"/>
            </w:rPr>
            <m:t>=</m:t>
          </m:r>
          <m:nary>
            <m:naryPr>
              <m:chr m:val="∑"/>
              <m:limLoc m:val="undOvr"/>
              <m:subHide m:val="1"/>
              <m:supHide m:val="1"/>
              <m:ctrlPr>
                <w:rPr>
                  <w:rFonts w:ascii="Cambria Math" w:hAnsi="Cambria Math"/>
                  <w:bCs/>
                  <w:i/>
                </w:rPr>
              </m:ctrlPr>
            </m:naryPr>
            <m:sub/>
            <m:sup/>
            <m:e>
              <m:sSub>
                <m:sSubPr>
                  <m:ctrlPr>
                    <w:rPr>
                      <w:rFonts w:ascii="Cambria Math" w:hAnsi="Cambria Math"/>
                      <w:bCs/>
                      <w:i/>
                    </w:rPr>
                  </m:ctrlPr>
                </m:sSubPr>
                <m:e>
                  <m:r>
                    <w:rPr>
                      <w:rFonts w:ascii="Cambria Math" w:hAnsi="Cambria Math"/>
                    </w:rPr>
                    <m:t>Emission reduction</m:t>
                  </m:r>
                </m:e>
                <m:sub>
                  <m:r>
                    <w:rPr>
                      <w:rFonts w:ascii="Cambria Math" w:hAnsi="Cambria Math"/>
                    </w:rPr>
                    <m:t>mitigation option</m:t>
                  </m:r>
                </m:sub>
              </m:sSub>
            </m:e>
          </m:nary>
        </m:oMath>
      </m:oMathPara>
    </w:p>
    <w:p w14:paraId="5263247E" w14:textId="5DF2C445" w:rsidR="00CC1EF5" w:rsidRDefault="0093669C" w:rsidP="00C11411">
      <w:pPr>
        <w:jc w:val="both"/>
      </w:pPr>
      <m:oMathPara>
        <m:oMath>
          <m:sSub>
            <m:sSubPr>
              <m:ctrlPr>
                <w:rPr>
                  <w:rFonts w:ascii="Cambria Math" w:hAnsi="Cambria Math"/>
                  <w:bCs/>
                  <w:i/>
                </w:rPr>
              </m:ctrlPr>
            </m:sSubPr>
            <m:e>
              <m:r>
                <w:rPr>
                  <w:rFonts w:ascii="Cambria Math" w:hAnsi="Cambria Math"/>
                </w:rPr>
                <m:t>Emission reduction</m:t>
              </m:r>
            </m:e>
            <m:sub>
              <m:r>
                <w:rPr>
                  <w:rFonts w:ascii="Cambria Math" w:hAnsi="Cambria Math"/>
                </w:rPr>
                <m:t>mitigation option</m:t>
              </m:r>
            </m:sub>
          </m:sSub>
          <m:r>
            <w:rPr>
              <w:rFonts w:ascii="Cambria Math" w:hAnsi="Cambria Math"/>
            </w:rPr>
            <m:t>=</m:t>
          </m:r>
          <m:sSub>
            <m:sSubPr>
              <m:ctrlPr>
                <w:rPr>
                  <w:rFonts w:ascii="Cambria Math" w:hAnsi="Cambria Math"/>
                  <w:bCs/>
                  <w:i/>
                </w:rPr>
              </m:ctrlPr>
            </m:sSubPr>
            <m:e>
              <m:r>
                <w:rPr>
                  <w:rFonts w:ascii="Cambria Math" w:hAnsi="Cambria Math"/>
                </w:rPr>
                <m:t>Emissions</m:t>
              </m:r>
            </m:e>
            <m:sub>
              <m:r>
                <w:rPr>
                  <w:rFonts w:ascii="Cambria Math" w:hAnsi="Cambria Math"/>
                </w:rPr>
                <m:t>reference option</m:t>
              </m:r>
            </m:sub>
          </m:sSub>
          <m:r>
            <w:rPr>
              <w:rFonts w:ascii="Cambria Math" w:hAnsi="Cambria Math"/>
            </w:rPr>
            <m:t>-</m:t>
          </m:r>
          <m:sSub>
            <m:sSubPr>
              <m:ctrlPr>
                <w:rPr>
                  <w:rFonts w:ascii="Cambria Math" w:hAnsi="Cambria Math"/>
                  <w:bCs/>
                  <w:i/>
                </w:rPr>
              </m:ctrlPr>
            </m:sSubPr>
            <m:e>
              <m:r>
                <w:rPr>
                  <w:rFonts w:ascii="Cambria Math" w:hAnsi="Cambria Math"/>
                </w:rPr>
                <m:t>Emissions</m:t>
              </m:r>
            </m:e>
            <m:sub>
              <m:r>
                <w:rPr>
                  <w:rFonts w:ascii="Cambria Math" w:hAnsi="Cambria Math"/>
                </w:rPr>
                <m:t>reduction option</m:t>
              </m:r>
            </m:sub>
          </m:sSub>
        </m:oMath>
      </m:oMathPara>
    </w:p>
    <w:p w14:paraId="5C4ED459" w14:textId="77777777" w:rsidR="009E2782" w:rsidRDefault="009E2782">
      <w:pPr>
        <w:jc w:val="both"/>
      </w:pPr>
    </w:p>
    <w:p w14:paraId="202FC1CA" w14:textId="0122B5DF" w:rsidR="001838B8" w:rsidRDefault="00A731EB">
      <w:pPr>
        <w:jc w:val="both"/>
      </w:pPr>
      <w:r>
        <w:t xml:space="preserve">To estimate the emission reduction potentials in the years 2025, 2030, 2035, </w:t>
      </w:r>
      <w:r w:rsidR="00A33C30">
        <w:t xml:space="preserve">2040, 2045, </w:t>
      </w:r>
      <w:r>
        <w:t xml:space="preserve">and 2050 the user must fill in the respective tables for those years. The user can navigate between the tables of the different years by clicking on the </w:t>
      </w:r>
      <w:r>
        <w:rPr>
          <w:color w:val="0070C0"/>
        </w:rPr>
        <w:t xml:space="preserve">Year </w:t>
      </w:r>
      <w:r>
        <w:t xml:space="preserve">that needs to be displayed. It </w:t>
      </w:r>
      <w:r w:rsidR="00005EB0">
        <w:t>must</w:t>
      </w:r>
      <w:r>
        <w:t xml:space="preserve"> be noted that, depending on whether a user wants to estimate emission reduction potentials for all the years or only for 2025 and/or 2030 and/or 2035</w:t>
      </w:r>
      <w:r w:rsidR="00A33C30">
        <w:t xml:space="preserve"> and/or</w:t>
      </w:r>
      <w:r>
        <w:t xml:space="preserve"> </w:t>
      </w:r>
      <w:r w:rsidR="00A33C30">
        <w:t xml:space="preserve">2040 and/or 2045 </w:t>
      </w:r>
      <w:r>
        <w:t xml:space="preserve">and/or 2050, the user must fill in one or many of these tables. If the user fills in only one table, then the emission reduction will be estimated for the year chosen. It means that </w:t>
      </w:r>
      <w:r w:rsidR="008F6EA9">
        <w:t xml:space="preserve">the </w:t>
      </w:r>
      <w:r>
        <w:t xml:space="preserve">GACMO </w:t>
      </w:r>
      <w:r w:rsidR="008F6EA9">
        <w:t xml:space="preserve">tool </w:t>
      </w:r>
      <w:r>
        <w:t>will not be able to draw a mitigation curve (scenario) but that the emission reduction will be represented by a point for this year in the graph.</w:t>
      </w:r>
    </w:p>
    <w:p w14:paraId="202FC1CB" w14:textId="77777777" w:rsidR="001838B8" w:rsidRDefault="00A731EB">
      <w:pPr>
        <w:jc w:val="both"/>
      </w:pPr>
      <w:r>
        <w:t>The approach to filling in the different tables is the same for each table and is described below.</w:t>
      </w:r>
    </w:p>
    <w:p w14:paraId="202FC1CC" w14:textId="140ED732" w:rsidR="001838B8" w:rsidRDefault="00A731EB">
      <w:pPr>
        <w:jc w:val="both"/>
      </w:pPr>
      <w:r>
        <w:t>The table includes a list of all the mitigation options included in the GACMO tool</w:t>
      </w:r>
      <w:r w:rsidR="000F5799">
        <w:t xml:space="preserve">, </w:t>
      </w:r>
      <w:r>
        <w:t xml:space="preserve">grouped by category of activities. These options are listed in column C. Each option has been built into </w:t>
      </w:r>
      <w:r w:rsidR="008F6EA9">
        <w:t>the tool</w:t>
      </w:r>
      <w:r>
        <w:t xml:space="preserve"> by introducing default parameters relative to each of these options. All these parameters are found in the tables corresponding to each mitigation option in the </w:t>
      </w:r>
      <w:r>
        <w:rPr>
          <w:color w:val="5B9BD5"/>
        </w:rPr>
        <w:t>Technology sheets</w:t>
      </w:r>
      <w:r>
        <w:t>. The user can access the table of each mitigation option by clicking on the name of the mitigation option (in column C). Further explanation on the Technology sheets is provided in this chapter below.</w:t>
      </w:r>
    </w:p>
    <w:p w14:paraId="202FC1CD" w14:textId="7BD06E53" w:rsidR="001838B8" w:rsidRDefault="00A731EB">
      <w:pPr>
        <w:jc w:val="both"/>
      </w:pPr>
      <w:r>
        <w:t xml:space="preserve">It is important to understand that the default parameters for one mitigation option have been inserted in </w:t>
      </w:r>
      <w:r w:rsidR="008F6EA9">
        <w:t xml:space="preserve">the </w:t>
      </w:r>
      <w:r>
        <w:t xml:space="preserve">GACMO </w:t>
      </w:r>
      <w:r w:rsidR="008F6EA9">
        <w:t xml:space="preserve">tool </w:t>
      </w:r>
      <w:r>
        <w:t xml:space="preserve">in correspondence to a specific unit for this mitigation option. For example, the default parameters for the mitigation option Efficient domestic lighting with LEDs (Row 49) have been </w:t>
      </w:r>
      <w:r>
        <w:lastRenderedPageBreak/>
        <w:t>inserted for a unit of 1000 LEDS bulbs (E49). All the units specific to each mitigation option are listed in the column E.</w:t>
      </w:r>
    </w:p>
    <w:p w14:paraId="202FC1CE" w14:textId="114C9823" w:rsidR="001838B8" w:rsidRDefault="00A731EB">
      <w:pPr>
        <w:jc w:val="both"/>
      </w:pPr>
      <w:r>
        <w:t xml:space="preserve">It is recommended that the user consider all the mitigation options suggested in </w:t>
      </w:r>
      <w:r w:rsidR="00F32E58">
        <w:t xml:space="preserve">the </w:t>
      </w:r>
      <w:r>
        <w:t>GACMO</w:t>
      </w:r>
      <w:r w:rsidR="00F32E58">
        <w:t xml:space="preserve"> tool</w:t>
      </w:r>
      <w:r>
        <w:t xml:space="preserve">. However, if the user would like to limit the mitigation options to a specific category of activity, the user can select the categories to be considered by clicking on </w:t>
      </w:r>
      <w:r>
        <w:rPr>
          <w:color w:val="0070C0"/>
        </w:rPr>
        <w:t>“Select reduction option sector/type”</w:t>
      </w:r>
      <w:r>
        <w:t>.</w:t>
      </w:r>
    </w:p>
    <w:p w14:paraId="202FC1CF" w14:textId="5B0E70D9" w:rsidR="001838B8" w:rsidRDefault="00A731EB">
      <w:pPr>
        <w:jc w:val="both"/>
      </w:pPr>
      <w:r>
        <w:t>To fill in each table (2025</w:t>
      </w:r>
      <w:r w:rsidR="00A33C30">
        <w:t>,</w:t>
      </w:r>
      <w:r>
        <w:t xml:space="preserve"> and/or 2030</w:t>
      </w:r>
      <w:r w:rsidR="00A33C30">
        <w:t>,</w:t>
      </w:r>
      <w:r>
        <w:t xml:space="preserve"> and/or 2035, </w:t>
      </w:r>
      <w:r w:rsidR="00A33C30">
        <w:t xml:space="preserve">and/or 2040, and/or 2045, </w:t>
      </w:r>
      <w:r>
        <w:t>and/or 2050), the approach below can be followed:</w:t>
      </w:r>
    </w:p>
    <w:p w14:paraId="202FC1D0" w14:textId="18625542" w:rsidR="001838B8" w:rsidRDefault="00A731EB">
      <w:pPr>
        <w:numPr>
          <w:ilvl w:val="0"/>
          <w:numId w:val="5"/>
        </w:numPr>
        <w:pBdr>
          <w:top w:val="nil"/>
          <w:left w:val="nil"/>
          <w:bottom w:val="nil"/>
          <w:right w:val="nil"/>
          <w:between w:val="nil"/>
        </w:pBdr>
        <w:spacing w:after="0"/>
        <w:ind w:left="284" w:hanging="284"/>
        <w:jc w:val="both"/>
        <w:rPr>
          <w:color w:val="000000"/>
        </w:rPr>
      </w:pPr>
      <w:r>
        <w:rPr>
          <w:color w:val="000000"/>
        </w:rPr>
        <w:t>Identify all the mitigation options, among the list of options available in column C, which need to be considered in the context of the user</w:t>
      </w:r>
      <w:r w:rsidR="00401C14">
        <w:rPr>
          <w:color w:val="000000"/>
        </w:rPr>
        <w:t>’</w:t>
      </w:r>
      <w:r>
        <w:rPr>
          <w:color w:val="000000"/>
        </w:rPr>
        <w:t xml:space="preserve">s country and/or for the purpose of the analysis made in </w:t>
      </w:r>
      <w:r w:rsidR="00F32E58">
        <w:rPr>
          <w:color w:val="000000"/>
        </w:rPr>
        <w:t xml:space="preserve">the </w:t>
      </w:r>
      <w:r>
        <w:rPr>
          <w:color w:val="000000"/>
        </w:rPr>
        <w:t>GACMO</w:t>
      </w:r>
      <w:r w:rsidR="00F32E58">
        <w:rPr>
          <w:color w:val="000000"/>
        </w:rPr>
        <w:t xml:space="preserve"> tool</w:t>
      </w:r>
      <w:r>
        <w:rPr>
          <w:color w:val="000000"/>
        </w:rPr>
        <w:t xml:space="preserve">. For example, a mitigation scenario could be built in the context of an NDC or a Long-Term Strategy. The mitigation options considered for those two cases might be different. The mitigation options which are chosen by the user will be the options that will be used to build the mitigation scenario of the country. </w:t>
      </w:r>
    </w:p>
    <w:p w14:paraId="202FC1D1" w14:textId="77777777" w:rsidR="001838B8" w:rsidRDefault="001838B8">
      <w:pPr>
        <w:pBdr>
          <w:top w:val="nil"/>
          <w:left w:val="nil"/>
          <w:bottom w:val="nil"/>
          <w:right w:val="nil"/>
          <w:between w:val="nil"/>
        </w:pBdr>
        <w:spacing w:after="0"/>
        <w:ind w:left="284"/>
        <w:jc w:val="both"/>
        <w:rPr>
          <w:color w:val="000000"/>
        </w:rPr>
      </w:pPr>
    </w:p>
    <w:p w14:paraId="202FC1D2" w14:textId="0EF7ADD5" w:rsidR="001838B8" w:rsidRDefault="00A731EB">
      <w:pPr>
        <w:pBdr>
          <w:top w:val="nil"/>
          <w:left w:val="nil"/>
          <w:bottom w:val="nil"/>
          <w:right w:val="nil"/>
          <w:between w:val="nil"/>
        </w:pBdr>
        <w:spacing w:after="0"/>
        <w:ind w:left="284"/>
        <w:jc w:val="both"/>
        <w:rPr>
          <w:color w:val="000000"/>
        </w:rPr>
      </w:pPr>
      <w:r>
        <w:rPr>
          <w:color w:val="000000"/>
        </w:rPr>
        <w:t xml:space="preserve">To make the choice among all the options, a user can refer to national reports such as sectoral policy planning documents, national development strategies, national communications, nationally determined contributions, etc. This choice can also be made on expert-based judgment. Therefore, when running a GACMO process, it is good practice to involve a representative group of national experts from the different sectors/ministries which are being considered in </w:t>
      </w:r>
      <w:r w:rsidR="00AA58DD">
        <w:rPr>
          <w:color w:val="000000"/>
        </w:rPr>
        <w:t>the tool</w:t>
      </w:r>
      <w:r>
        <w:rPr>
          <w:color w:val="000000"/>
        </w:rPr>
        <w:t>.</w:t>
      </w:r>
    </w:p>
    <w:p w14:paraId="202FC1D3" w14:textId="77777777" w:rsidR="001838B8" w:rsidRDefault="001838B8">
      <w:pPr>
        <w:pBdr>
          <w:top w:val="nil"/>
          <w:left w:val="nil"/>
          <w:bottom w:val="nil"/>
          <w:right w:val="nil"/>
          <w:between w:val="nil"/>
        </w:pBdr>
        <w:spacing w:after="0"/>
        <w:ind w:left="284"/>
        <w:jc w:val="both"/>
        <w:rPr>
          <w:color w:val="000000"/>
        </w:rPr>
      </w:pPr>
    </w:p>
    <w:p w14:paraId="202FC1D4" w14:textId="540C2B11" w:rsidR="001838B8" w:rsidRDefault="00A731EB">
      <w:pPr>
        <w:numPr>
          <w:ilvl w:val="0"/>
          <w:numId w:val="5"/>
        </w:numPr>
        <w:pBdr>
          <w:top w:val="nil"/>
          <w:left w:val="nil"/>
          <w:bottom w:val="nil"/>
          <w:right w:val="nil"/>
          <w:between w:val="nil"/>
        </w:pBdr>
        <w:spacing w:after="0"/>
        <w:ind w:left="284" w:hanging="284"/>
        <w:jc w:val="both"/>
        <w:rPr>
          <w:color w:val="000000"/>
        </w:rPr>
      </w:pPr>
      <w:r>
        <w:rPr>
          <w:color w:val="000000"/>
        </w:rPr>
        <w:t xml:space="preserve">For each mitigation option chosen, the user will have to insert the number of units that are expected to be under implementation by the year 2025, 2030, 2035, </w:t>
      </w:r>
      <w:r w:rsidR="00A33C30">
        <w:t xml:space="preserve">2040, 2045, </w:t>
      </w:r>
      <w:r>
        <w:rPr>
          <w:color w:val="000000"/>
        </w:rPr>
        <w:t xml:space="preserve">or 2050 (depending on the table). These numbers are inserted in column I. </w:t>
      </w:r>
      <w:r>
        <w:rPr>
          <w:b/>
          <w:i/>
          <w:color w:val="000000"/>
        </w:rPr>
        <w:t xml:space="preserve">It is very important that the number of units inserted in column I </w:t>
      </w:r>
      <w:proofErr w:type="gramStart"/>
      <w:r>
        <w:rPr>
          <w:b/>
          <w:i/>
          <w:color w:val="000000"/>
        </w:rPr>
        <w:t>takes into account</w:t>
      </w:r>
      <w:proofErr w:type="gramEnd"/>
      <w:r>
        <w:rPr>
          <w:b/>
          <w:i/>
          <w:color w:val="000000"/>
        </w:rPr>
        <w:t xml:space="preserve"> the unit of the corresponding mitigation option indicated in column E</w:t>
      </w:r>
      <w:r>
        <w:rPr>
          <w:b/>
          <w:color w:val="000000"/>
        </w:rPr>
        <w:t>.</w:t>
      </w:r>
      <w:r>
        <w:rPr>
          <w:color w:val="000000"/>
        </w:rPr>
        <w:t xml:space="preserve"> For example, if the number of LEDs bulbs expected under implementation by 2025 is 200,000 bulbs, then the number to include in column I for this mitigation option (Efficient domestic lighting with LEDs - Row 49) will be 200, as 200 x 1000 (which is unit value in E) equal 200,000. The same reasoning between columns I and E </w:t>
      </w:r>
      <w:proofErr w:type="gramStart"/>
      <w:r>
        <w:rPr>
          <w:color w:val="000000"/>
        </w:rPr>
        <w:t>has to</w:t>
      </w:r>
      <w:proofErr w:type="gramEnd"/>
      <w:r>
        <w:rPr>
          <w:color w:val="000000"/>
        </w:rPr>
        <w:t xml:space="preserve"> be made for each number inserted by the user in column I.</w:t>
      </w:r>
    </w:p>
    <w:p w14:paraId="202FC1D5" w14:textId="77777777" w:rsidR="001838B8" w:rsidRDefault="001838B8">
      <w:pPr>
        <w:pBdr>
          <w:top w:val="nil"/>
          <w:left w:val="nil"/>
          <w:bottom w:val="nil"/>
          <w:right w:val="nil"/>
          <w:between w:val="nil"/>
        </w:pBdr>
        <w:spacing w:after="0"/>
        <w:ind w:left="284"/>
        <w:jc w:val="both"/>
        <w:rPr>
          <w:color w:val="000000"/>
        </w:rPr>
      </w:pPr>
    </w:p>
    <w:p w14:paraId="202FC1D6" w14:textId="77777777" w:rsidR="001838B8" w:rsidRDefault="00A731EB">
      <w:pPr>
        <w:pBdr>
          <w:top w:val="nil"/>
          <w:left w:val="nil"/>
          <w:bottom w:val="nil"/>
          <w:right w:val="nil"/>
          <w:between w:val="nil"/>
        </w:pBdr>
        <w:ind w:left="284"/>
        <w:jc w:val="both"/>
        <w:rPr>
          <w:color w:val="000000"/>
        </w:rPr>
      </w:pPr>
      <w:r>
        <w:rPr>
          <w:color w:val="000000"/>
        </w:rPr>
        <w:t>Again, to estimate these numbers, the user will have to refer to national reports or consult national experts from respective sector/ministries.</w:t>
      </w:r>
    </w:p>
    <w:p w14:paraId="202FC1D8" w14:textId="77777777" w:rsidR="001838B8" w:rsidRDefault="00A731EB">
      <w:pPr>
        <w:spacing w:after="160" w:line="259" w:lineRule="auto"/>
        <w:jc w:val="both"/>
      </w:pPr>
      <w:r>
        <w:t>Note that the tables in this Mitigation Option sheet already include information and results that might be quite relevant for the user (these results are also summarized in the Results sheet). The user will find:</w:t>
      </w:r>
    </w:p>
    <w:p w14:paraId="202FC1D9" w14:textId="57ABB850" w:rsidR="001838B8" w:rsidRDefault="00A731EB">
      <w:pPr>
        <w:numPr>
          <w:ilvl w:val="0"/>
          <w:numId w:val="5"/>
        </w:numPr>
        <w:pBdr>
          <w:top w:val="nil"/>
          <w:left w:val="nil"/>
          <w:bottom w:val="nil"/>
          <w:right w:val="nil"/>
          <w:between w:val="nil"/>
        </w:pBdr>
        <w:spacing w:after="60" w:line="259" w:lineRule="auto"/>
        <w:ind w:left="714" w:hanging="357"/>
        <w:jc w:val="both"/>
        <w:rPr>
          <w:color w:val="000000"/>
        </w:rPr>
      </w:pPr>
      <w:r>
        <w:rPr>
          <w:color w:val="000000"/>
        </w:rPr>
        <w:lastRenderedPageBreak/>
        <w:t xml:space="preserve">In column D: </w:t>
      </w:r>
      <w:r>
        <w:rPr>
          <w:b/>
          <w:color w:val="000000"/>
        </w:rPr>
        <w:t>the abatement cost for the mitigation option</w:t>
      </w:r>
      <w:r>
        <w:rPr>
          <w:color w:val="000000"/>
        </w:rPr>
        <w:t>, that is the cost of reducing 1 ton</w:t>
      </w:r>
      <w:r w:rsidR="00732019">
        <w:rPr>
          <w:color w:val="000000"/>
        </w:rPr>
        <w:t>ne</w:t>
      </w:r>
      <w:r>
        <w:rPr>
          <w:color w:val="000000"/>
        </w:rPr>
        <w:t xml:space="preserve"> of CO</w:t>
      </w:r>
      <w:r w:rsidRPr="0077648A">
        <w:rPr>
          <w:color w:val="000000"/>
          <w:vertAlign w:val="subscript"/>
        </w:rPr>
        <w:t>2</w:t>
      </w:r>
      <w:r>
        <w:rPr>
          <w:color w:val="000000"/>
        </w:rPr>
        <w:t xml:space="preserve">e for the mitigation option. This value is calculated from the parameters of the </w:t>
      </w:r>
      <w:r w:rsidR="005B165C">
        <w:rPr>
          <w:color w:val="000000"/>
        </w:rPr>
        <w:t xml:space="preserve">respective </w:t>
      </w:r>
      <w:r>
        <w:rPr>
          <w:color w:val="000000"/>
        </w:rPr>
        <w:t>Technology sheet.</w:t>
      </w:r>
    </w:p>
    <w:p w14:paraId="202FC1DA" w14:textId="0DEF48FA" w:rsidR="001838B8" w:rsidRDefault="00A731EB">
      <w:pPr>
        <w:numPr>
          <w:ilvl w:val="0"/>
          <w:numId w:val="5"/>
        </w:numPr>
        <w:pBdr>
          <w:top w:val="nil"/>
          <w:left w:val="nil"/>
          <w:bottom w:val="nil"/>
          <w:right w:val="nil"/>
          <w:between w:val="nil"/>
        </w:pBdr>
        <w:spacing w:after="60" w:line="259" w:lineRule="auto"/>
        <w:ind w:left="714" w:hanging="357"/>
        <w:jc w:val="both"/>
        <w:rPr>
          <w:color w:val="000000"/>
        </w:rPr>
      </w:pPr>
      <w:r>
        <w:rPr>
          <w:color w:val="000000"/>
        </w:rPr>
        <w:t xml:space="preserve">In column F: </w:t>
      </w:r>
      <w:r>
        <w:rPr>
          <w:b/>
          <w:color w:val="000000"/>
        </w:rPr>
        <w:t>the emission reduction potential per unit</w:t>
      </w:r>
      <w:r>
        <w:rPr>
          <w:color w:val="000000"/>
        </w:rPr>
        <w:t xml:space="preserve"> (defined as per Column E) of the mitigation option expressed in tCO</w:t>
      </w:r>
      <w:r w:rsidRPr="0077648A">
        <w:rPr>
          <w:color w:val="000000"/>
          <w:vertAlign w:val="subscript"/>
        </w:rPr>
        <w:t>2</w:t>
      </w:r>
      <w:r>
        <w:rPr>
          <w:color w:val="000000"/>
        </w:rPr>
        <w:t xml:space="preserve">e per unit. This value is calculated from the parameters of the </w:t>
      </w:r>
      <w:r w:rsidR="005B165C">
        <w:rPr>
          <w:color w:val="000000"/>
        </w:rPr>
        <w:t xml:space="preserve">respective </w:t>
      </w:r>
      <w:r>
        <w:rPr>
          <w:color w:val="000000"/>
        </w:rPr>
        <w:t>Technology sheet.</w:t>
      </w:r>
    </w:p>
    <w:p w14:paraId="202FC1DB" w14:textId="77777777" w:rsidR="001838B8" w:rsidRDefault="00A731EB">
      <w:pPr>
        <w:numPr>
          <w:ilvl w:val="0"/>
          <w:numId w:val="5"/>
        </w:numPr>
        <w:pBdr>
          <w:top w:val="nil"/>
          <w:left w:val="nil"/>
          <w:bottom w:val="nil"/>
          <w:right w:val="nil"/>
          <w:between w:val="nil"/>
        </w:pBdr>
        <w:spacing w:after="60" w:line="259" w:lineRule="auto"/>
        <w:ind w:left="714" w:hanging="357"/>
        <w:jc w:val="both"/>
        <w:rPr>
          <w:color w:val="000000"/>
        </w:rPr>
      </w:pPr>
      <w:r>
        <w:rPr>
          <w:color w:val="000000"/>
        </w:rPr>
        <w:t xml:space="preserve">In column G: </w:t>
      </w:r>
      <w:r>
        <w:rPr>
          <w:b/>
          <w:color w:val="000000"/>
        </w:rPr>
        <w:t>the investment cost</w:t>
      </w:r>
      <w:r>
        <w:rPr>
          <w:color w:val="000000"/>
        </w:rPr>
        <w:t xml:space="preserve"> (million USD) for the mitigation option compared to a reference option. This value is calculated from the parameters of the Technology sheet </w:t>
      </w:r>
      <w:r>
        <w:rPr>
          <w:i/>
          <w:color w:val="000000"/>
        </w:rPr>
        <w:t>and</w:t>
      </w:r>
      <w:r>
        <w:rPr>
          <w:color w:val="000000"/>
        </w:rPr>
        <w:t xml:space="preserve"> from the data inserted in column I.</w:t>
      </w:r>
    </w:p>
    <w:p w14:paraId="202FC1DC" w14:textId="63BE8BC4" w:rsidR="001838B8" w:rsidRDefault="00A731EB">
      <w:pPr>
        <w:numPr>
          <w:ilvl w:val="0"/>
          <w:numId w:val="5"/>
        </w:numPr>
        <w:pBdr>
          <w:top w:val="nil"/>
          <w:left w:val="nil"/>
          <w:bottom w:val="nil"/>
          <w:right w:val="nil"/>
          <w:between w:val="nil"/>
        </w:pBdr>
        <w:spacing w:after="60" w:line="259" w:lineRule="auto"/>
        <w:ind w:left="714" w:hanging="357"/>
        <w:jc w:val="both"/>
        <w:rPr>
          <w:color w:val="000000"/>
        </w:rPr>
      </w:pPr>
      <w:r>
        <w:rPr>
          <w:color w:val="000000"/>
        </w:rPr>
        <w:t xml:space="preserve">In column H: </w:t>
      </w:r>
      <w:r>
        <w:rPr>
          <w:b/>
          <w:color w:val="000000"/>
        </w:rPr>
        <w:t>the annual costs</w:t>
      </w:r>
      <w:r>
        <w:rPr>
          <w:color w:val="000000"/>
        </w:rPr>
        <w:t xml:space="preserve"> (</w:t>
      </w:r>
      <w:r w:rsidR="00332FC5">
        <w:rPr>
          <w:color w:val="000000"/>
        </w:rPr>
        <w:t>annualized</w:t>
      </w:r>
      <w:r>
        <w:rPr>
          <w:color w:val="000000"/>
        </w:rPr>
        <w:t xml:space="preserve"> costs </w:t>
      </w:r>
      <w:r w:rsidR="00F242C9">
        <w:rPr>
          <w:color w:val="000000"/>
        </w:rPr>
        <w:t xml:space="preserve">in </w:t>
      </w:r>
      <w:r>
        <w:rPr>
          <w:color w:val="000000"/>
        </w:rPr>
        <w:t xml:space="preserve">million USD per year) for the mitigation option compared to a reference option. This value is calculated from the parameters of the Technology sheet and from the data inserted in column I. </w:t>
      </w:r>
      <w:r w:rsidR="00F242C9">
        <w:rPr>
          <w:color w:val="000000"/>
        </w:rPr>
        <w:t>Note</w:t>
      </w:r>
      <w:r>
        <w:rPr>
          <w:color w:val="000000"/>
        </w:rPr>
        <w:t xml:space="preserve"> that a negative number in column H indicates that the implementation of a mitigation option will allow a saving</w:t>
      </w:r>
      <w:r w:rsidR="00F242C9">
        <w:rPr>
          <w:color w:val="000000"/>
        </w:rPr>
        <w:t>s</w:t>
      </w:r>
      <w:r>
        <w:rPr>
          <w:color w:val="000000"/>
        </w:rPr>
        <w:t xml:space="preserve"> compared to the implementation of the reference option. </w:t>
      </w:r>
      <w:r w:rsidR="00483397">
        <w:rPr>
          <w:color w:val="000000"/>
        </w:rPr>
        <w:t xml:space="preserve">These cost </w:t>
      </w:r>
      <w:r>
        <w:rPr>
          <w:color w:val="000000"/>
        </w:rPr>
        <w:t>saving</w:t>
      </w:r>
      <w:r w:rsidR="00483397">
        <w:rPr>
          <w:color w:val="000000"/>
        </w:rPr>
        <w:t>s</w:t>
      </w:r>
      <w:r>
        <w:rPr>
          <w:color w:val="000000"/>
        </w:rPr>
        <w:t xml:space="preserve"> can </w:t>
      </w:r>
      <w:r w:rsidR="00621357">
        <w:rPr>
          <w:color w:val="000000"/>
        </w:rPr>
        <w:t xml:space="preserve">take the form of </w:t>
      </w:r>
      <w:r>
        <w:rPr>
          <w:color w:val="000000"/>
        </w:rPr>
        <w:t>lower maintenance cost</w:t>
      </w:r>
      <w:r w:rsidR="00483397">
        <w:rPr>
          <w:color w:val="000000"/>
        </w:rPr>
        <w:t>s</w:t>
      </w:r>
      <w:r>
        <w:rPr>
          <w:color w:val="000000"/>
        </w:rPr>
        <w:t xml:space="preserve"> for the mitigation option and/or reduced energy use for the mitigation option resulting in lower operational cost</w:t>
      </w:r>
      <w:r w:rsidR="00621357">
        <w:rPr>
          <w:color w:val="000000"/>
        </w:rPr>
        <w:t>s</w:t>
      </w:r>
      <w:r>
        <w:rPr>
          <w:color w:val="000000"/>
        </w:rPr>
        <w:t xml:space="preserve"> for this option compared to the reference option.</w:t>
      </w:r>
    </w:p>
    <w:p w14:paraId="202FC1DD" w14:textId="77777777" w:rsidR="001838B8" w:rsidRDefault="00A731EB">
      <w:pPr>
        <w:numPr>
          <w:ilvl w:val="0"/>
          <w:numId w:val="5"/>
        </w:numPr>
        <w:pBdr>
          <w:top w:val="nil"/>
          <w:left w:val="nil"/>
          <w:bottom w:val="nil"/>
          <w:right w:val="nil"/>
          <w:between w:val="nil"/>
        </w:pBdr>
        <w:spacing w:after="60" w:line="259" w:lineRule="auto"/>
        <w:ind w:left="714" w:hanging="357"/>
        <w:jc w:val="both"/>
        <w:rPr>
          <w:color w:val="000000"/>
        </w:rPr>
      </w:pPr>
      <w:r>
        <w:rPr>
          <w:color w:val="000000"/>
        </w:rPr>
        <w:t xml:space="preserve">In column J: </w:t>
      </w:r>
      <w:r>
        <w:rPr>
          <w:b/>
          <w:color w:val="000000"/>
        </w:rPr>
        <w:t xml:space="preserve">the emission reduction potential </w:t>
      </w:r>
      <w:r>
        <w:rPr>
          <w:b/>
          <w:i/>
          <w:color w:val="000000"/>
        </w:rPr>
        <w:t>in</w:t>
      </w:r>
      <w:r>
        <w:rPr>
          <w:b/>
          <w:color w:val="000000"/>
        </w:rPr>
        <w:t xml:space="preserve"> the year considered</w:t>
      </w:r>
      <w:r>
        <w:rPr>
          <w:color w:val="000000"/>
        </w:rPr>
        <w:t xml:space="preserve"> in the table for the mitigation option compared to a reference option in ktCO</w:t>
      </w:r>
      <w:r w:rsidRPr="0077648A">
        <w:rPr>
          <w:color w:val="000000"/>
          <w:vertAlign w:val="subscript"/>
        </w:rPr>
        <w:t>2</w:t>
      </w:r>
      <w:r>
        <w:rPr>
          <w:color w:val="000000"/>
        </w:rPr>
        <w:t xml:space="preserve">e. This value is calculated from the parameters of the Technology sheet </w:t>
      </w:r>
      <w:r>
        <w:rPr>
          <w:i/>
          <w:color w:val="000000"/>
        </w:rPr>
        <w:t>and</w:t>
      </w:r>
      <w:r>
        <w:rPr>
          <w:color w:val="000000"/>
        </w:rPr>
        <w:t xml:space="preserve"> from the data inserted in column I.</w:t>
      </w:r>
    </w:p>
    <w:p w14:paraId="202FC1DE" w14:textId="6FFDC79A" w:rsidR="001838B8" w:rsidRDefault="00A731EB">
      <w:pPr>
        <w:numPr>
          <w:ilvl w:val="0"/>
          <w:numId w:val="5"/>
        </w:numPr>
        <w:pBdr>
          <w:top w:val="nil"/>
          <w:left w:val="nil"/>
          <w:bottom w:val="nil"/>
          <w:right w:val="nil"/>
          <w:between w:val="nil"/>
        </w:pBdr>
        <w:spacing w:after="60" w:line="259" w:lineRule="auto"/>
        <w:ind w:left="714" w:hanging="357"/>
        <w:jc w:val="both"/>
        <w:rPr>
          <w:color w:val="000000"/>
        </w:rPr>
      </w:pPr>
      <w:r>
        <w:rPr>
          <w:color w:val="000000"/>
        </w:rPr>
        <w:t xml:space="preserve">In column K: </w:t>
      </w:r>
      <w:r>
        <w:rPr>
          <w:b/>
          <w:color w:val="000000"/>
        </w:rPr>
        <w:t xml:space="preserve">the aggregate emission reduction potential </w:t>
      </w:r>
      <w:r>
        <w:rPr>
          <w:b/>
          <w:i/>
          <w:color w:val="000000"/>
        </w:rPr>
        <w:t>in</w:t>
      </w:r>
      <w:r>
        <w:rPr>
          <w:b/>
          <w:color w:val="000000"/>
        </w:rPr>
        <w:t xml:space="preserve"> the year considered</w:t>
      </w:r>
      <w:r>
        <w:rPr>
          <w:color w:val="000000"/>
        </w:rPr>
        <w:t xml:space="preserve"> achieved with the mitigation options </w:t>
      </w:r>
      <w:r w:rsidR="00821938">
        <w:rPr>
          <w:color w:val="000000"/>
        </w:rPr>
        <w:t>(listed above)</w:t>
      </w:r>
      <w:r>
        <w:rPr>
          <w:color w:val="000000"/>
        </w:rPr>
        <w:t>.</w:t>
      </w:r>
    </w:p>
    <w:p w14:paraId="202FC1DF" w14:textId="153D51F0" w:rsidR="001838B8" w:rsidRDefault="00A731EB" w:rsidP="002024FF">
      <w:pPr>
        <w:numPr>
          <w:ilvl w:val="0"/>
          <w:numId w:val="5"/>
        </w:numPr>
        <w:pBdr>
          <w:top w:val="nil"/>
          <w:left w:val="nil"/>
          <w:bottom w:val="nil"/>
          <w:right w:val="nil"/>
          <w:between w:val="nil"/>
        </w:pBdr>
        <w:spacing w:line="259" w:lineRule="auto"/>
        <w:ind w:left="714" w:hanging="357"/>
        <w:jc w:val="both"/>
        <w:rPr>
          <w:color w:val="000000"/>
        </w:rPr>
      </w:pPr>
      <w:r>
        <w:rPr>
          <w:color w:val="000000"/>
        </w:rPr>
        <w:t xml:space="preserve">In column L: </w:t>
      </w:r>
      <w:r>
        <w:rPr>
          <w:b/>
          <w:color w:val="000000"/>
        </w:rPr>
        <w:t>the aggregated % of emission reduction</w:t>
      </w:r>
      <w:r>
        <w:rPr>
          <w:color w:val="000000"/>
        </w:rPr>
        <w:t xml:space="preserve"> achieved with the mitigation options </w:t>
      </w:r>
      <w:r w:rsidR="00821938">
        <w:rPr>
          <w:color w:val="000000"/>
        </w:rPr>
        <w:t>(listed above)</w:t>
      </w:r>
      <w:r>
        <w:rPr>
          <w:color w:val="000000"/>
        </w:rPr>
        <w:t>.</w:t>
      </w:r>
    </w:p>
    <w:bookmarkStart w:id="16" w:name="_Toc151557933"/>
    <w:p w14:paraId="202FC1E1" w14:textId="54F0A1FC" w:rsidR="001838B8" w:rsidRPr="00404E66" w:rsidRDefault="0093669C" w:rsidP="00B92E01">
      <w:pPr>
        <w:pStyle w:val="Heading2"/>
        <w:rPr>
          <w:color w:val="5B9BD5"/>
          <w:sz w:val="24"/>
          <w:szCs w:val="24"/>
          <w:u w:val="single"/>
        </w:rPr>
      </w:pPr>
      <w:sdt>
        <w:sdtPr>
          <w:rPr>
            <w:color w:val="5B9BD5"/>
            <w:sz w:val="24"/>
            <w:szCs w:val="24"/>
            <w:u w:val="single"/>
          </w:rPr>
          <w:tag w:val="goog_rdk_5"/>
          <w:id w:val="849062241"/>
        </w:sdtPr>
        <w:sdtEndPr/>
        <w:sdtContent/>
      </w:sdt>
      <w:r w:rsidR="00A731EB" w:rsidRPr="00404E66">
        <w:rPr>
          <w:color w:val="5B9BD5"/>
          <w:sz w:val="24"/>
          <w:szCs w:val="24"/>
          <w:u w:val="single"/>
        </w:rPr>
        <w:t>Technology sheet</w:t>
      </w:r>
      <w:r w:rsidR="00BD51D6" w:rsidRPr="00404E66">
        <w:rPr>
          <w:color w:val="5B9BD5"/>
          <w:sz w:val="24"/>
          <w:szCs w:val="24"/>
          <w:u w:val="single"/>
        </w:rPr>
        <w:t>s</w:t>
      </w:r>
      <w:bookmarkEnd w:id="16"/>
    </w:p>
    <w:p w14:paraId="6EA7B700" w14:textId="77777777" w:rsidR="008A53E6" w:rsidRDefault="00A731EB">
      <w:pPr>
        <w:jc w:val="both"/>
        <w:rPr>
          <w:b/>
          <w:color w:val="FF0000"/>
        </w:rPr>
      </w:pPr>
      <w:r>
        <w:rPr>
          <w:b/>
          <w:color w:val="FF0000"/>
        </w:rPr>
        <w:t>It is important to note that, in all the tables of the Technology sheets, the user can insert data or modify the default data ONLY in the cells which are highlighted in yellow.</w:t>
      </w:r>
    </w:p>
    <w:p w14:paraId="202FC1E3" w14:textId="146E3DD6" w:rsidR="001838B8" w:rsidRDefault="00DB79B3">
      <w:pPr>
        <w:jc w:val="both"/>
        <w:rPr>
          <w:b/>
          <w:color w:val="FF0000"/>
        </w:rPr>
      </w:pPr>
      <w:r>
        <w:rPr>
          <w:b/>
          <w:color w:val="FF0000"/>
        </w:rPr>
        <w:t>It is recommended</w:t>
      </w:r>
      <w:r w:rsidR="00370132">
        <w:rPr>
          <w:b/>
          <w:color w:val="FF0000"/>
        </w:rPr>
        <w:t xml:space="preserve"> for the user</w:t>
      </w:r>
      <w:r>
        <w:rPr>
          <w:b/>
          <w:color w:val="FF0000"/>
        </w:rPr>
        <w:t xml:space="preserve"> to </w:t>
      </w:r>
      <w:r w:rsidR="00165544">
        <w:rPr>
          <w:b/>
          <w:color w:val="FF0000"/>
        </w:rPr>
        <w:t xml:space="preserve">review </w:t>
      </w:r>
      <w:r w:rsidR="00370132">
        <w:rPr>
          <w:b/>
          <w:color w:val="FF0000"/>
        </w:rPr>
        <w:t xml:space="preserve">the </w:t>
      </w:r>
      <w:r w:rsidR="00165544">
        <w:rPr>
          <w:b/>
          <w:color w:val="FF0000"/>
        </w:rPr>
        <w:t>input data (highlighted in yellow) in the technology sheets</w:t>
      </w:r>
      <w:r w:rsidR="00A731EB">
        <w:rPr>
          <w:b/>
          <w:color w:val="FF0000"/>
        </w:rPr>
        <w:t xml:space="preserve">. </w:t>
      </w:r>
      <w:r w:rsidR="00817799">
        <w:rPr>
          <w:b/>
          <w:color w:val="FF0000"/>
        </w:rPr>
        <w:t xml:space="preserve">While some input data </w:t>
      </w:r>
      <w:r w:rsidR="00536CC8">
        <w:rPr>
          <w:b/>
          <w:color w:val="FF0000"/>
        </w:rPr>
        <w:t xml:space="preserve">can </w:t>
      </w:r>
      <w:r w:rsidR="007D45C4">
        <w:rPr>
          <w:b/>
          <w:color w:val="FF0000"/>
        </w:rPr>
        <w:t>be similar in</w:t>
      </w:r>
      <w:r w:rsidR="00E5591D">
        <w:rPr>
          <w:b/>
          <w:color w:val="FF0000"/>
        </w:rPr>
        <w:t xml:space="preserve"> many countries</w:t>
      </w:r>
      <w:r w:rsidR="00536CC8">
        <w:rPr>
          <w:b/>
          <w:color w:val="FF0000"/>
        </w:rPr>
        <w:t xml:space="preserve"> (</w:t>
      </w:r>
      <w:r w:rsidR="00E5591D">
        <w:rPr>
          <w:b/>
          <w:color w:val="FF0000"/>
        </w:rPr>
        <w:t xml:space="preserve">e.g. </w:t>
      </w:r>
      <w:r w:rsidR="00370132">
        <w:rPr>
          <w:b/>
          <w:color w:val="FF0000"/>
        </w:rPr>
        <w:t xml:space="preserve">average </w:t>
      </w:r>
      <w:r w:rsidR="00E65FF0">
        <w:rPr>
          <w:b/>
          <w:color w:val="FF0000"/>
        </w:rPr>
        <w:t>electricity consumption by electric light-duty vehicle</w:t>
      </w:r>
      <w:r>
        <w:rPr>
          <w:b/>
          <w:color w:val="FF0000"/>
        </w:rPr>
        <w:t>, emission factor</w:t>
      </w:r>
      <w:r w:rsidR="00A86D82">
        <w:rPr>
          <w:b/>
          <w:color w:val="FF0000"/>
        </w:rPr>
        <w:t xml:space="preserve"> by fuel</w:t>
      </w:r>
      <w:r w:rsidR="00536CC8">
        <w:rPr>
          <w:b/>
          <w:color w:val="FF0000"/>
        </w:rPr>
        <w:t>)</w:t>
      </w:r>
      <w:r w:rsidR="00EF7FCB">
        <w:rPr>
          <w:b/>
          <w:color w:val="FF0000"/>
        </w:rPr>
        <w:t xml:space="preserve">, </w:t>
      </w:r>
      <w:r w:rsidR="00E65FF0">
        <w:rPr>
          <w:b/>
          <w:color w:val="FF0000"/>
        </w:rPr>
        <w:t>other</w:t>
      </w:r>
      <w:r w:rsidR="00EF7FCB">
        <w:rPr>
          <w:b/>
          <w:color w:val="FF0000"/>
        </w:rPr>
        <w:t xml:space="preserve"> input data </w:t>
      </w:r>
      <w:r w:rsidR="007D45C4">
        <w:rPr>
          <w:b/>
          <w:color w:val="FF0000"/>
        </w:rPr>
        <w:t xml:space="preserve">can vary from country to country </w:t>
      </w:r>
      <w:r w:rsidR="00EF7FCB">
        <w:rPr>
          <w:b/>
          <w:color w:val="FF0000"/>
        </w:rPr>
        <w:t>(</w:t>
      </w:r>
      <w:r w:rsidR="00962B70">
        <w:rPr>
          <w:b/>
          <w:color w:val="FF0000"/>
        </w:rPr>
        <w:t xml:space="preserve">e.g. </w:t>
      </w:r>
      <w:r w:rsidR="0036035E">
        <w:rPr>
          <w:b/>
          <w:color w:val="FF0000"/>
        </w:rPr>
        <w:t>daily</w:t>
      </w:r>
      <w:r w:rsidR="00EF7FCB">
        <w:rPr>
          <w:b/>
          <w:color w:val="FF0000"/>
        </w:rPr>
        <w:t xml:space="preserve"> solar insolation,</w:t>
      </w:r>
      <w:r w:rsidR="00962B70">
        <w:rPr>
          <w:b/>
          <w:color w:val="FF0000"/>
        </w:rPr>
        <w:t xml:space="preserve"> grid emission factor,</w:t>
      </w:r>
      <w:r w:rsidR="00AC27DA">
        <w:rPr>
          <w:b/>
          <w:color w:val="FF0000"/>
        </w:rPr>
        <w:t xml:space="preserve"> electricity price, etc.</w:t>
      </w:r>
      <w:r w:rsidR="00EF7FCB">
        <w:rPr>
          <w:b/>
          <w:color w:val="FF0000"/>
        </w:rPr>
        <w:t>)</w:t>
      </w:r>
      <w:r w:rsidR="00AC27DA">
        <w:rPr>
          <w:b/>
          <w:color w:val="FF0000"/>
        </w:rPr>
        <w:t xml:space="preserve">. </w:t>
      </w:r>
    </w:p>
    <w:p w14:paraId="202FC1E5" w14:textId="6E3C7653" w:rsidR="001838B8" w:rsidRDefault="00AA58DD">
      <w:pPr>
        <w:jc w:val="both"/>
      </w:pPr>
      <w:r>
        <w:t xml:space="preserve">The </w:t>
      </w:r>
      <w:r w:rsidR="00A731EB">
        <w:t>GACMO</w:t>
      </w:r>
      <w:r>
        <w:t xml:space="preserve"> tool</w:t>
      </w:r>
      <w:r w:rsidR="00A731EB">
        <w:t xml:space="preserve"> includes </w:t>
      </w:r>
      <w:r w:rsidR="00404E66">
        <w:t>twenty-six</w:t>
      </w:r>
      <w:r w:rsidR="00A731EB">
        <w:t xml:space="preserve"> spreadsheets referred to as </w:t>
      </w:r>
      <w:r w:rsidR="00A731EB">
        <w:rPr>
          <w:color w:val="5B9BD5"/>
        </w:rPr>
        <w:t>Technology sheets</w:t>
      </w:r>
      <w:r w:rsidR="00A731EB">
        <w:t>. These spreadsheets are not visible to the user, but the user can access them by clicking on the name of the mitigation option in column C of the Mitigation Option sheet.</w:t>
      </w:r>
      <w:r w:rsidR="001A24FF">
        <w:t xml:space="preserve"> </w:t>
      </w:r>
    </w:p>
    <w:p w14:paraId="202FC1E6" w14:textId="02509B3A" w:rsidR="001838B8" w:rsidRDefault="00A731EB">
      <w:pPr>
        <w:jc w:val="both"/>
      </w:pPr>
      <w:r>
        <w:lastRenderedPageBreak/>
        <w:t>There is one spreadsheet for each type of mitigation option as defined in the CDM pipeline.</w:t>
      </w:r>
      <w:r>
        <w:rPr>
          <w:vertAlign w:val="superscript"/>
        </w:rPr>
        <w:footnoteReference w:id="4"/>
      </w:r>
      <w:r>
        <w:t xml:space="preserve"> Each spreadsheet corresponds to a type of mitigation option (for example Solar) and includes all the mitigation options belonging to this type (for example 12 mitigation options in the Solar spreadsheet). Each mitigation option and its reference option are then summarized in a table showing all the parameters relative to these mitigation and reference options. All the tables for the mitigation options in one spreadsheet are shown below the other. It must be noted that for one mitigation option, there may be different tables for 2020, 2025, 2030, 2035, </w:t>
      </w:r>
      <w:r w:rsidR="004A11E7">
        <w:t xml:space="preserve">2040, 2045, </w:t>
      </w:r>
      <w:r>
        <w:t>and 2050 next to each other.</w:t>
      </w:r>
      <w:r>
        <w:rPr>
          <w:vertAlign w:val="superscript"/>
        </w:rPr>
        <w:footnoteReference w:id="5"/>
      </w:r>
    </w:p>
    <w:p w14:paraId="202FC1E7" w14:textId="77777777" w:rsidR="001838B8" w:rsidRDefault="00A731EB">
      <w:pPr>
        <w:jc w:val="both"/>
      </w:pPr>
      <w:r>
        <w:t>All the tables for the different options are built in the same way in all the Technology sheets:</w:t>
      </w:r>
    </w:p>
    <w:p w14:paraId="202FC1E8" w14:textId="77777777" w:rsidR="001838B8" w:rsidRDefault="00A731EB">
      <w:pPr>
        <w:numPr>
          <w:ilvl w:val="0"/>
          <w:numId w:val="1"/>
        </w:numPr>
        <w:spacing w:after="60"/>
        <w:ind w:left="284" w:hanging="284"/>
        <w:jc w:val="both"/>
      </w:pPr>
      <w:r>
        <w:t>The top line contains the name of the option and the unit for this option.</w:t>
      </w:r>
    </w:p>
    <w:p w14:paraId="202FC1E9" w14:textId="77777777" w:rsidR="001838B8" w:rsidRDefault="00A731EB">
      <w:pPr>
        <w:numPr>
          <w:ilvl w:val="0"/>
          <w:numId w:val="1"/>
        </w:numPr>
        <w:spacing w:after="60"/>
        <w:ind w:left="284" w:hanging="284"/>
        <w:jc w:val="both"/>
      </w:pPr>
      <w:r>
        <w:t xml:space="preserve">The upper left part of the table contains the economic calculation with a column for the mitigation option (reduction option), a column for the reference option (without the implementation of the mitigation action), and a column showing the impact (positive or negative) on the costs which would result from the implementation of the mitigation option compared to the reference option. </w:t>
      </w:r>
    </w:p>
    <w:p w14:paraId="202FC1EA" w14:textId="77777777" w:rsidR="001838B8" w:rsidRDefault="00A731EB">
      <w:pPr>
        <w:numPr>
          <w:ilvl w:val="0"/>
          <w:numId w:val="1"/>
        </w:numPr>
        <w:spacing w:after="60"/>
        <w:ind w:left="284" w:hanging="284"/>
        <w:jc w:val="both"/>
      </w:pPr>
      <w:r>
        <w:t>In this upper left part of the table, the user will find:</w:t>
      </w:r>
    </w:p>
    <w:p w14:paraId="202FC1EB" w14:textId="77777777" w:rsidR="001838B8" w:rsidRDefault="00A731EB">
      <w:pPr>
        <w:numPr>
          <w:ilvl w:val="1"/>
          <w:numId w:val="3"/>
        </w:numPr>
        <w:spacing w:after="60"/>
        <w:ind w:left="568" w:hanging="284"/>
        <w:jc w:val="both"/>
      </w:pPr>
      <w:r>
        <w:t xml:space="preserve">The total investment (in US$) for the mitigation option and for the reference option (calculated as the </w:t>
      </w:r>
      <w:r>
        <w:rPr>
          <w:b/>
          <w:i/>
        </w:rPr>
        <w:t>additional</w:t>
      </w:r>
      <w:r>
        <w:t xml:space="preserve"> cost compared to the cost of the reference option).</w:t>
      </w:r>
    </w:p>
    <w:p w14:paraId="202FC1EC" w14:textId="77777777" w:rsidR="001838B8" w:rsidRDefault="00A731EB">
      <w:pPr>
        <w:numPr>
          <w:ilvl w:val="1"/>
          <w:numId w:val="3"/>
        </w:numPr>
        <w:spacing w:after="60"/>
        <w:ind w:left="568" w:hanging="284"/>
        <w:jc w:val="both"/>
      </w:pPr>
      <w:r>
        <w:t>The project life (in years) corresponding to the number of years over which the option will be implemented (lifetime of an option).</w:t>
      </w:r>
    </w:p>
    <w:p w14:paraId="202FC1ED" w14:textId="77777777" w:rsidR="001838B8" w:rsidRDefault="00A731EB">
      <w:pPr>
        <w:numPr>
          <w:ilvl w:val="1"/>
          <w:numId w:val="3"/>
        </w:numPr>
        <w:spacing w:after="60"/>
        <w:ind w:left="568" w:hanging="284"/>
        <w:jc w:val="both"/>
      </w:pPr>
      <w:r>
        <w:t xml:space="preserve">The levelized investment (in US$) corresponding to the </w:t>
      </w:r>
      <w:r>
        <w:rPr>
          <w:b/>
          <w:i/>
        </w:rPr>
        <w:t>annual</w:t>
      </w:r>
      <w:r>
        <w:t xml:space="preserve"> investment based on the discount rate used (shown in the table of general inputs to the upper right) and the project life in years.</w:t>
      </w:r>
    </w:p>
    <w:p w14:paraId="202FC1EE" w14:textId="77777777" w:rsidR="001838B8" w:rsidRDefault="00A731EB">
      <w:pPr>
        <w:numPr>
          <w:ilvl w:val="1"/>
          <w:numId w:val="3"/>
        </w:numPr>
        <w:spacing w:after="60"/>
        <w:ind w:left="568" w:hanging="284"/>
        <w:jc w:val="both"/>
      </w:pPr>
      <w:r>
        <w:t>The annual cost of Operation and Maintenance (in US$) for the mitigation option and for the reference option.</w:t>
      </w:r>
    </w:p>
    <w:p w14:paraId="202FC1EF" w14:textId="77777777" w:rsidR="001838B8" w:rsidRDefault="00A731EB">
      <w:pPr>
        <w:numPr>
          <w:ilvl w:val="1"/>
          <w:numId w:val="3"/>
        </w:numPr>
        <w:spacing w:after="60"/>
        <w:ind w:left="568" w:hanging="284"/>
        <w:jc w:val="both"/>
      </w:pPr>
      <w:r>
        <w:t>The annual electricity cost, the annual fuel cost, or in some cases, the annual material costs (in US$) needed for the mitigation option and for the reference option.</w:t>
      </w:r>
    </w:p>
    <w:p w14:paraId="202FC1F0" w14:textId="77777777" w:rsidR="001838B8" w:rsidRDefault="00A731EB">
      <w:pPr>
        <w:numPr>
          <w:ilvl w:val="1"/>
          <w:numId w:val="3"/>
        </w:numPr>
        <w:spacing w:after="60"/>
        <w:ind w:left="568" w:hanging="284"/>
        <w:jc w:val="both"/>
      </w:pPr>
      <w:r>
        <w:t>The total annual costs for the mitigation option and for the reference option.</w:t>
      </w:r>
    </w:p>
    <w:p w14:paraId="202FC1F1" w14:textId="34437BD6" w:rsidR="001838B8" w:rsidRDefault="00A731EB">
      <w:pPr>
        <w:numPr>
          <w:ilvl w:val="0"/>
          <w:numId w:val="1"/>
        </w:numPr>
        <w:spacing w:after="60"/>
        <w:ind w:left="284" w:hanging="284"/>
        <w:jc w:val="both"/>
      </w:pPr>
      <w:r>
        <w:t xml:space="preserve">The lower left table contains the </w:t>
      </w:r>
      <w:r w:rsidR="0068537E">
        <w:t>GHG</w:t>
      </w:r>
      <w:r>
        <w:t xml:space="preserve"> emissions calculations with a column for the mitigation option, a column for the reference option, and a column with the </w:t>
      </w:r>
      <w:r w:rsidR="0068537E">
        <w:t>GHG</w:t>
      </w:r>
      <w:r>
        <w:t xml:space="preserve"> reduction achieved by implementing the mitigation option compared to the reference option (that is, the difference between the mitigation </w:t>
      </w:r>
      <w:r w:rsidR="00FE477F">
        <w:t xml:space="preserve">option </w:t>
      </w:r>
      <w:r>
        <w:t xml:space="preserve">and the reference </w:t>
      </w:r>
      <w:r w:rsidR="00FE477F">
        <w:t>option</w:t>
      </w:r>
      <w:r>
        <w:t>).</w:t>
      </w:r>
    </w:p>
    <w:p w14:paraId="202FC1F2" w14:textId="55C39659" w:rsidR="001838B8" w:rsidRDefault="00A731EB">
      <w:pPr>
        <w:numPr>
          <w:ilvl w:val="0"/>
          <w:numId w:val="1"/>
        </w:numPr>
        <w:spacing w:after="60"/>
        <w:ind w:left="284" w:hanging="284"/>
        <w:jc w:val="both"/>
      </w:pPr>
      <w:r>
        <w:lastRenderedPageBreak/>
        <w:t>The last line in the left part of the table is the average abatement cost expressed in US$/ton</w:t>
      </w:r>
      <w:r w:rsidR="00732019">
        <w:t>ne</w:t>
      </w:r>
      <w:r>
        <w:t xml:space="preserve"> CO</w:t>
      </w:r>
      <w:r w:rsidRPr="0077648A">
        <w:rPr>
          <w:vertAlign w:val="subscript"/>
        </w:rPr>
        <w:t>2</w:t>
      </w:r>
      <w:r>
        <w:t>-eq.</w:t>
      </w:r>
    </w:p>
    <w:p w14:paraId="202FC1F3" w14:textId="3D536BB8" w:rsidR="001838B8" w:rsidRDefault="00A731EB">
      <w:pPr>
        <w:numPr>
          <w:ilvl w:val="0"/>
          <w:numId w:val="1"/>
        </w:numPr>
        <w:spacing w:after="60"/>
        <w:ind w:left="284" w:hanging="284"/>
        <w:jc w:val="both"/>
      </w:pPr>
      <w:r>
        <w:t xml:space="preserve">The right part of the table includes all the entries for the parameters needed to make the </w:t>
      </w:r>
      <w:r w:rsidR="0068537E">
        <w:t>GHG</w:t>
      </w:r>
      <w:r>
        <w:t xml:space="preserve"> emissions calculations and the costs calculations.</w:t>
      </w:r>
    </w:p>
    <w:p w14:paraId="202FC1F4" w14:textId="77777777" w:rsidR="001838B8" w:rsidRDefault="00A731EB">
      <w:pPr>
        <w:numPr>
          <w:ilvl w:val="1"/>
          <w:numId w:val="3"/>
        </w:numPr>
        <w:spacing w:after="60"/>
        <w:ind w:left="568" w:hanging="284"/>
        <w:jc w:val="both"/>
      </w:pPr>
      <w:r>
        <w:t>The upper right part of the table shows the general inputs used for the reference option and for the mitigation options. Several of these inputs are taken from the Assumptions sheet.</w:t>
      </w:r>
    </w:p>
    <w:p w14:paraId="202FC1F5" w14:textId="77777777" w:rsidR="001838B8" w:rsidRDefault="00A731EB">
      <w:pPr>
        <w:numPr>
          <w:ilvl w:val="1"/>
          <w:numId w:val="3"/>
        </w:numPr>
        <w:spacing w:after="60"/>
        <w:ind w:left="568" w:hanging="284"/>
        <w:jc w:val="both"/>
      </w:pPr>
      <w:r>
        <w:t>The middle right part of the table shows all the entries for the mitigation option (reduction option). These entries include technical parameters and unit costs.</w:t>
      </w:r>
    </w:p>
    <w:p w14:paraId="202FC1F6" w14:textId="77777777" w:rsidR="001838B8" w:rsidRDefault="00A731EB">
      <w:pPr>
        <w:numPr>
          <w:ilvl w:val="1"/>
          <w:numId w:val="3"/>
        </w:numPr>
        <w:spacing w:after="60"/>
        <w:ind w:left="568" w:hanging="284"/>
        <w:jc w:val="both"/>
      </w:pPr>
      <w:r>
        <w:t>The lower right part of the table shows all the entries for the reference option. These entries include technical parameters and unit costs.</w:t>
      </w:r>
    </w:p>
    <w:p w14:paraId="202FC1F7" w14:textId="04A9E3D6" w:rsidR="001838B8" w:rsidRDefault="00A731EB">
      <w:pPr>
        <w:numPr>
          <w:ilvl w:val="0"/>
          <w:numId w:val="1"/>
        </w:numPr>
        <w:ind w:left="284" w:hanging="284"/>
        <w:jc w:val="both"/>
      </w:pPr>
      <w:r>
        <w:t xml:space="preserve">At the bottom of each table, there are notes </w:t>
      </w:r>
      <w:r w:rsidR="0046147B">
        <w:t xml:space="preserve">that </w:t>
      </w:r>
      <w:r>
        <w:t>provid</w:t>
      </w:r>
      <w:r w:rsidR="0046147B">
        <w:t>e</w:t>
      </w:r>
      <w:r>
        <w:t xml:space="preserve"> details about the option (if</w:t>
      </w:r>
      <w:r w:rsidR="00A8787F">
        <w:t xml:space="preserve"> </w:t>
      </w:r>
      <w:r>
        <w:t xml:space="preserve">applicable) </w:t>
      </w:r>
      <w:r w:rsidR="000E6316">
        <w:t>and/</w:t>
      </w:r>
      <w:r>
        <w:t xml:space="preserve">or literature references where additional information about the option </w:t>
      </w:r>
      <w:r w:rsidR="00586F45">
        <w:t xml:space="preserve">and their associated parameters </w:t>
      </w:r>
      <w:r>
        <w:t xml:space="preserve">can be found. </w:t>
      </w:r>
      <w:r w:rsidR="00586F45">
        <w:t>Often</w:t>
      </w:r>
      <w:r>
        <w:t>, the references are related to the CDM projects used to establish the default data.</w:t>
      </w:r>
    </w:p>
    <w:p w14:paraId="47BD5315" w14:textId="56C6DA7D" w:rsidR="00A62EB6" w:rsidRDefault="00A62EB6" w:rsidP="00A62EB6">
      <w:pPr>
        <w:ind w:left="284"/>
        <w:jc w:val="both"/>
      </w:pPr>
      <w:r>
        <w:rPr>
          <w:noProof/>
        </w:rPr>
        <w:lastRenderedPageBreak/>
        <w:drawing>
          <wp:inline distT="0" distB="0" distL="0" distR="0" wp14:anchorId="25B8D470" wp14:editId="5AEDCAE4">
            <wp:extent cx="5731510" cy="7614285"/>
            <wp:effectExtent l="0" t="0" r="2540" b="5715"/>
            <wp:docPr id="1830925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25126" name="Picture 183092512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7614285"/>
                    </a:xfrm>
                    <a:prstGeom prst="rect">
                      <a:avLst/>
                    </a:prstGeom>
                  </pic:spPr>
                </pic:pic>
              </a:graphicData>
            </a:graphic>
          </wp:inline>
        </w:drawing>
      </w:r>
    </w:p>
    <w:p w14:paraId="00A23610" w14:textId="77777777" w:rsidR="001A24FF" w:rsidRDefault="001A24FF">
      <w:pPr>
        <w:jc w:val="both"/>
      </w:pPr>
    </w:p>
    <w:p w14:paraId="71C30B14" w14:textId="5D8010FC" w:rsidR="008D0C95" w:rsidRDefault="008D0C95">
      <w:pPr>
        <w:jc w:val="both"/>
      </w:pPr>
      <w:r>
        <w:lastRenderedPageBreak/>
        <w:t xml:space="preserve">Once the user has reviewed the data </w:t>
      </w:r>
      <w:r w:rsidR="006514FC">
        <w:t xml:space="preserve">in the table corresponding to </w:t>
      </w:r>
      <w:r w:rsidR="00137F80">
        <w:t>a specific</w:t>
      </w:r>
      <w:r w:rsidR="006514FC">
        <w:t xml:space="preserve"> </w:t>
      </w:r>
      <w:r w:rsidR="00D12D02">
        <w:t xml:space="preserve">technology in the </w:t>
      </w:r>
      <w:r w:rsidR="0014490F">
        <w:t>Technology</w:t>
      </w:r>
      <w:r w:rsidR="00D12D02">
        <w:t xml:space="preserve"> sheet, the user can come back </w:t>
      </w:r>
      <w:r w:rsidR="0014490F">
        <w:t xml:space="preserve">to the Mitigation Option sheet by clicking on </w:t>
      </w:r>
      <w:r w:rsidR="0014490F" w:rsidRPr="0014490F">
        <w:t>“Return to Mitigation options”</w:t>
      </w:r>
      <w:r w:rsidR="00045B8D">
        <w:t>. T</w:t>
      </w:r>
      <w:r w:rsidR="0014490F">
        <w:t xml:space="preserve">he same </w:t>
      </w:r>
      <w:r w:rsidR="00045B8D">
        <w:t xml:space="preserve">can be done </w:t>
      </w:r>
      <w:r w:rsidR="0014490F">
        <w:t>for all the other relevant mitigation options.</w:t>
      </w:r>
    </w:p>
    <w:p w14:paraId="202FC1F9" w14:textId="27C6857A" w:rsidR="001838B8" w:rsidRDefault="00A731EB">
      <w:pPr>
        <w:jc w:val="both"/>
      </w:pPr>
      <w:r>
        <w:t xml:space="preserve">Once the data </w:t>
      </w:r>
      <w:r w:rsidR="00B57070">
        <w:t xml:space="preserve">have been inserted and reviewed in </w:t>
      </w:r>
      <w:r>
        <w:t xml:space="preserve">the tables </w:t>
      </w:r>
      <w:r w:rsidR="00076C1E">
        <w:t>of</w:t>
      </w:r>
      <w:r>
        <w:t xml:space="preserve"> the Mitigation Option </w:t>
      </w:r>
      <w:r w:rsidR="00076C1E">
        <w:t xml:space="preserve">and Technology </w:t>
      </w:r>
      <w:r>
        <w:t>sheet</w:t>
      </w:r>
      <w:r w:rsidR="00076C1E">
        <w:t>s, the user</w:t>
      </w:r>
      <w:r>
        <w:t xml:space="preserve"> can move to the next step by clicking </w:t>
      </w:r>
      <w:r>
        <w:rPr>
          <w:color w:val="0070C0"/>
        </w:rPr>
        <w:t>“Go to Step 8”</w:t>
      </w:r>
      <w:r>
        <w:t>.</w:t>
      </w:r>
    </w:p>
    <w:p w14:paraId="202FC1FB" w14:textId="05D60D35" w:rsidR="001838B8" w:rsidRDefault="00A731EB" w:rsidP="00B92E01">
      <w:pPr>
        <w:pStyle w:val="Heading2"/>
        <w:rPr>
          <w:color w:val="5B9BD5"/>
          <w:sz w:val="24"/>
          <w:szCs w:val="24"/>
          <w:u w:val="single"/>
        </w:rPr>
      </w:pPr>
      <w:bookmarkStart w:id="17" w:name="_Toc151557934"/>
      <w:r>
        <w:rPr>
          <w:color w:val="5B9BD5"/>
          <w:sz w:val="24"/>
          <w:szCs w:val="24"/>
          <w:u w:val="single"/>
        </w:rPr>
        <w:t>STEP 8 = The Results sheet:</w:t>
      </w:r>
      <w:bookmarkEnd w:id="17"/>
    </w:p>
    <w:p w14:paraId="202FC1FC" w14:textId="47698F7D" w:rsidR="001838B8" w:rsidRDefault="00A731EB">
      <w:pPr>
        <w:jc w:val="both"/>
      </w:pPr>
      <w:r>
        <w:t xml:space="preserve">This spreadsheet sheet includes all the results for </w:t>
      </w:r>
      <w:r w:rsidR="00B92E01">
        <w:t xml:space="preserve">the </w:t>
      </w:r>
      <w:r w:rsidR="0068537E">
        <w:t>GHG</w:t>
      </w:r>
      <w:r w:rsidR="00574EC5">
        <w:t xml:space="preserve"> emissions by </w:t>
      </w:r>
      <w:r w:rsidR="00133793">
        <w:t>year</w:t>
      </w:r>
      <w:r w:rsidR="00574EC5">
        <w:t xml:space="preserve"> and by scenarios</w:t>
      </w:r>
      <w:r w:rsidR="000D1F5C">
        <w:t xml:space="preserve"> and </w:t>
      </w:r>
      <w:r w:rsidR="00D75362">
        <w:t>Marginal A</w:t>
      </w:r>
      <w:r w:rsidR="000D1F5C">
        <w:t xml:space="preserve">batement </w:t>
      </w:r>
      <w:r w:rsidR="00D75362">
        <w:t>R</w:t>
      </w:r>
      <w:r w:rsidR="000D1F5C">
        <w:t xml:space="preserve">evenue </w:t>
      </w:r>
      <w:r w:rsidR="00D75362">
        <w:t>C</w:t>
      </w:r>
      <w:r w:rsidR="000D1F5C">
        <w:t>urves</w:t>
      </w:r>
      <w:r>
        <w:t>. The sheet also displays the graphical results from the data analysis. In the Results sheet, the user will find the following information:</w:t>
      </w:r>
    </w:p>
    <w:p w14:paraId="202FC1FD" w14:textId="1DAFDCDC" w:rsidR="001838B8" w:rsidRDefault="00A731EB">
      <w:pPr>
        <w:numPr>
          <w:ilvl w:val="0"/>
          <w:numId w:val="1"/>
        </w:numPr>
        <w:spacing w:after="60"/>
        <w:ind w:left="284" w:hanging="284"/>
        <w:jc w:val="both"/>
      </w:pPr>
      <w:r>
        <w:t xml:space="preserve">A table with the total </w:t>
      </w:r>
      <w:r w:rsidR="0068537E">
        <w:t>GHG</w:t>
      </w:r>
      <w:r>
        <w:t xml:space="preserve"> emissions levels reached in different years (start year, 2025, 2030, 2035</w:t>
      </w:r>
      <w:r w:rsidR="004A11E7">
        <w:t xml:space="preserve">, 2040, 2045, </w:t>
      </w:r>
      <w:r>
        <w:t>and 2050) for the BAU scenario and for the mitigation scenario.</w:t>
      </w:r>
    </w:p>
    <w:p w14:paraId="202FC1FE" w14:textId="27560BB7" w:rsidR="001838B8" w:rsidRDefault="00106944">
      <w:pPr>
        <w:numPr>
          <w:ilvl w:val="0"/>
          <w:numId w:val="1"/>
        </w:numPr>
        <w:spacing w:after="60"/>
        <w:ind w:left="284" w:hanging="284"/>
        <w:jc w:val="both"/>
      </w:pPr>
      <w:r>
        <w:t xml:space="preserve">A </w:t>
      </w:r>
      <w:r w:rsidR="00A731EB">
        <w:t>graph showing the curves for the total emissions in the BAU and the mitigation scenarios.</w:t>
      </w:r>
    </w:p>
    <w:p w14:paraId="202FC1FF" w14:textId="00A90093" w:rsidR="001838B8" w:rsidRDefault="00A731EB">
      <w:pPr>
        <w:numPr>
          <w:ilvl w:val="0"/>
          <w:numId w:val="1"/>
        </w:numPr>
        <w:spacing w:after="60"/>
        <w:ind w:left="284" w:hanging="284"/>
        <w:jc w:val="both"/>
      </w:pPr>
      <w:r>
        <w:t>A table showing the sectoral split of the emissions in different years (start year, 2025, 2030, 2035</w:t>
      </w:r>
      <w:r w:rsidR="004A11E7">
        <w:t xml:space="preserve">, 2040, 2045, </w:t>
      </w:r>
      <w:r>
        <w:t>and 2050) for the BAU scenario.</w:t>
      </w:r>
    </w:p>
    <w:p w14:paraId="202FC200" w14:textId="0CE99936" w:rsidR="001838B8" w:rsidRDefault="0024471C">
      <w:pPr>
        <w:numPr>
          <w:ilvl w:val="0"/>
          <w:numId w:val="1"/>
        </w:numPr>
        <w:spacing w:after="60"/>
        <w:ind w:left="284" w:hanging="284"/>
        <w:jc w:val="both"/>
      </w:pPr>
      <w:r>
        <w:t xml:space="preserve">A </w:t>
      </w:r>
      <w:r w:rsidR="00A731EB">
        <w:t>graph showing the curves for the sectoral emissions in the BAU scenario.</w:t>
      </w:r>
    </w:p>
    <w:p w14:paraId="202FC201" w14:textId="6E87C60A" w:rsidR="001838B8" w:rsidRDefault="00A731EB">
      <w:pPr>
        <w:numPr>
          <w:ilvl w:val="0"/>
          <w:numId w:val="1"/>
        </w:numPr>
        <w:spacing w:after="60"/>
        <w:ind w:left="284" w:hanging="284"/>
        <w:jc w:val="both"/>
      </w:pPr>
      <w:r>
        <w:t xml:space="preserve">A table showing the sectoral split of the emissions in different years (start year, 2025, 2030, 2035, </w:t>
      </w:r>
      <w:r w:rsidR="005E2780">
        <w:t xml:space="preserve">2040, 2045, </w:t>
      </w:r>
      <w:r>
        <w:t>and 2050) for the mitigation scenario.</w:t>
      </w:r>
    </w:p>
    <w:p w14:paraId="202FC202" w14:textId="4904400B" w:rsidR="001838B8" w:rsidRDefault="00B1796B">
      <w:pPr>
        <w:numPr>
          <w:ilvl w:val="0"/>
          <w:numId w:val="1"/>
        </w:numPr>
        <w:spacing w:after="60"/>
        <w:ind w:left="284" w:hanging="284"/>
        <w:jc w:val="both"/>
      </w:pPr>
      <w:r>
        <w:t xml:space="preserve">A </w:t>
      </w:r>
      <w:r w:rsidR="00A731EB">
        <w:t>graph showing the curves for the sectoral emissions in the mitigation scenario.</w:t>
      </w:r>
    </w:p>
    <w:p w14:paraId="202FC203" w14:textId="69C56824" w:rsidR="001838B8" w:rsidRDefault="00A731EB">
      <w:pPr>
        <w:numPr>
          <w:ilvl w:val="0"/>
          <w:numId w:val="1"/>
        </w:numPr>
        <w:spacing w:after="60"/>
        <w:ind w:left="284" w:hanging="284"/>
        <w:jc w:val="both"/>
      </w:pPr>
      <w:r>
        <w:t>A Marginal Abatement Revenue Curve (MAR curve) comparing the relevant mitigation options for year</w:t>
      </w:r>
      <w:r w:rsidR="00B1796B">
        <w:t>s</w:t>
      </w:r>
      <w:r>
        <w:t xml:space="preserve"> 2025, 2030, 2035, </w:t>
      </w:r>
      <w:r w:rsidR="005E2780">
        <w:t xml:space="preserve">2040, 2045, </w:t>
      </w:r>
      <w:r>
        <w:t>or 2050.</w:t>
      </w:r>
    </w:p>
    <w:p w14:paraId="202FC204" w14:textId="77777777" w:rsidR="001838B8" w:rsidRDefault="001838B8">
      <w:pPr>
        <w:spacing w:after="60"/>
        <w:jc w:val="both"/>
      </w:pPr>
    </w:p>
    <w:p w14:paraId="39D82025" w14:textId="0038E588" w:rsidR="00A23FEF" w:rsidRPr="00B92E01" w:rsidRDefault="00C77E9B" w:rsidP="009F4D2C">
      <w:pPr>
        <w:spacing w:after="60"/>
        <w:jc w:val="both"/>
      </w:pPr>
      <w:r w:rsidRPr="00B92E01">
        <w:t>The user can change the name of the scenario</w:t>
      </w:r>
      <w:r w:rsidR="002C123C" w:rsidRPr="00B92E01">
        <w:t xml:space="preserve"> (e.g.</w:t>
      </w:r>
      <w:r w:rsidR="00E431D2">
        <w:t>,</w:t>
      </w:r>
      <w:r w:rsidR="002C123C" w:rsidRPr="00B92E01">
        <w:t xml:space="preserve"> scenario without measures, scenario with measures, scenario with additional measures)</w:t>
      </w:r>
      <w:r w:rsidRPr="00B92E01">
        <w:t>.</w:t>
      </w:r>
      <w:r w:rsidR="00717FC5" w:rsidRPr="00B92E01">
        <w:t xml:space="preserve"> </w:t>
      </w:r>
      <w:r w:rsidR="00BD6335" w:rsidRPr="00B92E01">
        <w:t xml:space="preserve"> </w:t>
      </w:r>
    </w:p>
    <w:p w14:paraId="1C3B55DC" w14:textId="09BF1426" w:rsidR="00477BEF" w:rsidRDefault="005A413F" w:rsidP="009F4D2C">
      <w:pPr>
        <w:spacing w:after="60"/>
        <w:jc w:val="both"/>
      </w:pPr>
      <w:r>
        <w:t xml:space="preserve">The </w:t>
      </w:r>
      <w:r w:rsidR="009F4D2C" w:rsidRPr="00B92E01">
        <w:t xml:space="preserve">GACMO </w:t>
      </w:r>
      <w:r>
        <w:t xml:space="preserve">tool </w:t>
      </w:r>
      <w:r w:rsidR="009F4D2C" w:rsidRPr="00B92E01">
        <w:t>can generate one BAU scenario and one mitigation scenario with</w:t>
      </w:r>
      <w:r w:rsidR="00A23FEF" w:rsidRPr="00B92E01">
        <w:t>in</w:t>
      </w:r>
      <w:r w:rsidR="009F4D2C" w:rsidRPr="00B92E01">
        <w:t xml:space="preserve"> one</w:t>
      </w:r>
      <w:r w:rsidR="00A23FEF" w:rsidRPr="00B92E01">
        <w:t xml:space="preserve"> GACMO</w:t>
      </w:r>
      <w:r w:rsidR="009F4D2C" w:rsidRPr="00B92E01">
        <w:t xml:space="preserve"> file. </w:t>
      </w:r>
      <w:r>
        <w:t>A s</w:t>
      </w:r>
      <w:r w:rsidR="009F4D2C" w:rsidRPr="00B92E01">
        <w:t xml:space="preserve">econd mitigation scenario can be added by the user. To do this, </w:t>
      </w:r>
      <w:r>
        <w:t xml:space="preserve">a </w:t>
      </w:r>
      <w:r w:rsidR="009F4D2C" w:rsidRPr="00B92E01">
        <w:t xml:space="preserve">second </w:t>
      </w:r>
      <w:r>
        <w:t xml:space="preserve">GACMO </w:t>
      </w:r>
      <w:r w:rsidR="009F4D2C" w:rsidRPr="00B92E01">
        <w:t>file needs to be created. To compare three scenarios, the results of</w:t>
      </w:r>
      <w:r w:rsidR="00826072" w:rsidRPr="00B92E01">
        <w:t xml:space="preserve"> the</w:t>
      </w:r>
      <w:r w:rsidR="009F4D2C" w:rsidRPr="00B92E01">
        <w:t xml:space="preserve"> second mitigation scenario from the other GACMO should be copied to the table</w:t>
      </w:r>
      <w:r w:rsidR="00A23FEF" w:rsidRPr="00B92E01">
        <w:t xml:space="preserve"> with GHG emissions from all sectors</w:t>
      </w:r>
      <w:r w:rsidR="00223C53">
        <w:t xml:space="preserve"> in the cells named Mitigation scenario 2</w:t>
      </w:r>
      <w:r w:rsidR="009F4D2C" w:rsidRPr="00B92E01">
        <w:t xml:space="preserve">. </w:t>
      </w:r>
      <w:r w:rsidR="00826072" w:rsidRPr="00B92E01">
        <w:t xml:space="preserve">If there is one mitigation scenario, </w:t>
      </w:r>
      <w:r>
        <w:t xml:space="preserve">the </w:t>
      </w:r>
      <w:r w:rsidR="00826072" w:rsidRPr="00B92E01">
        <w:t>user can delete/hide rows with the second mitigation scenario.</w:t>
      </w:r>
      <w:r w:rsidR="00826072">
        <w:t xml:space="preserve"> </w:t>
      </w:r>
    </w:p>
    <w:p w14:paraId="3DE4D07F" w14:textId="77777777" w:rsidR="00477BEF" w:rsidRDefault="00477BEF">
      <w:pPr>
        <w:spacing w:after="60"/>
        <w:jc w:val="both"/>
      </w:pPr>
    </w:p>
    <w:p w14:paraId="202FC205" w14:textId="0274A5B0" w:rsidR="001838B8" w:rsidRDefault="00A731EB">
      <w:pPr>
        <w:spacing w:after="60"/>
        <w:jc w:val="both"/>
      </w:pPr>
      <w:r>
        <w:t xml:space="preserve">The Results sheet can be printed by the user as a </w:t>
      </w:r>
      <w:r w:rsidR="00A84D93">
        <w:t>p</w:t>
      </w:r>
      <w:r>
        <w:t xml:space="preserve">df file by clicking on </w:t>
      </w:r>
      <w:r>
        <w:rPr>
          <w:color w:val="0070C0"/>
        </w:rPr>
        <w:t>“Make PDF report”</w:t>
      </w:r>
      <w:r>
        <w:t>.</w:t>
      </w:r>
    </w:p>
    <w:p w14:paraId="202FC207" w14:textId="77777777" w:rsidR="001838B8" w:rsidRDefault="001838B8">
      <w:pPr>
        <w:spacing w:after="60"/>
        <w:jc w:val="both"/>
      </w:pPr>
    </w:p>
    <w:p w14:paraId="202FC208" w14:textId="77777777" w:rsidR="001838B8" w:rsidRDefault="00A731EB">
      <w:pPr>
        <w:jc w:val="both"/>
        <w:rPr>
          <w:b/>
          <w:color w:val="5B9BD5"/>
          <w:u w:val="single"/>
        </w:rPr>
      </w:pPr>
      <w:r>
        <w:rPr>
          <w:b/>
          <w:color w:val="5B9BD5"/>
          <w:u w:val="single"/>
        </w:rPr>
        <w:t>Marginal Abatement Revenue Curve (MAR curve)</w:t>
      </w:r>
    </w:p>
    <w:p w14:paraId="202FC209" w14:textId="6BEBC3A7" w:rsidR="001838B8" w:rsidRDefault="00A731EB">
      <w:pPr>
        <w:jc w:val="both"/>
      </w:pPr>
      <w:proofErr w:type="gramStart"/>
      <w:r>
        <w:t>In order to</w:t>
      </w:r>
      <w:proofErr w:type="gramEnd"/>
      <w:r>
        <w:t xml:space="preserve"> easily compare the cost efficiency of the different mitigation options in regard to their respective </w:t>
      </w:r>
      <w:r w:rsidR="002872D0">
        <w:t>GHG</w:t>
      </w:r>
      <w:r>
        <w:t xml:space="preserve"> emissions reduction potential, </w:t>
      </w:r>
      <w:r w:rsidR="00AA58DD">
        <w:t xml:space="preserve">the </w:t>
      </w:r>
      <w:r>
        <w:t>GACMO</w:t>
      </w:r>
      <w:r w:rsidR="00AA58DD">
        <w:t xml:space="preserve"> tool</w:t>
      </w:r>
      <w:r>
        <w:t xml:space="preserve"> establishes a Marginal Abatement </w:t>
      </w:r>
      <w:r>
        <w:lastRenderedPageBreak/>
        <w:t xml:space="preserve">Revenue curve (MAR). This curve is built on the </w:t>
      </w:r>
      <w:r w:rsidR="00F51161">
        <w:t>revenue</w:t>
      </w:r>
      <w:r>
        <w:t xml:space="preserve"> of an option to reduce one ton</w:t>
      </w:r>
      <w:r w:rsidR="00732019">
        <w:t>ne</w:t>
      </w:r>
      <w:r>
        <w:t xml:space="preserve"> of CO</w:t>
      </w:r>
      <w:r>
        <w:rPr>
          <w:vertAlign w:val="subscript"/>
        </w:rPr>
        <w:t>2</w:t>
      </w:r>
      <w:r>
        <w:t xml:space="preserve"> equivalent (expressed in US$/tCO</w:t>
      </w:r>
      <w:r>
        <w:rPr>
          <w:vertAlign w:val="subscript"/>
        </w:rPr>
        <w:t>2</w:t>
      </w:r>
      <w:r>
        <w:t xml:space="preserve">-eq) (y-axis), and the total </w:t>
      </w:r>
      <w:r w:rsidR="002872D0">
        <w:t>GHG</w:t>
      </w:r>
      <w:r>
        <w:t xml:space="preserve"> emission reduction potential of an option (expressed in ktCO</w:t>
      </w:r>
      <w:r>
        <w:rPr>
          <w:vertAlign w:val="subscript"/>
        </w:rPr>
        <w:t>2</w:t>
      </w:r>
      <w:r>
        <w:t>-eq / year) (x-axis). The data to build the curve are based on the data found in the Mitigation Options sheet.</w:t>
      </w:r>
    </w:p>
    <w:p w14:paraId="202FC20A" w14:textId="77777777" w:rsidR="001838B8" w:rsidRDefault="00A731EB">
      <w:pPr>
        <w:jc w:val="both"/>
      </w:pPr>
      <w:r>
        <w:t xml:space="preserve">The MAR curve corresponds to a traditional marginal abatement cost curve (MAC curve) which has been inverted. In the case of a MAC curve, the curve is based on the </w:t>
      </w:r>
      <w:r>
        <w:rPr>
          <w:i/>
        </w:rPr>
        <w:t>cost</w:t>
      </w:r>
      <w:r>
        <w:t xml:space="preserve">, while in the MAR curve, the curve is based on the </w:t>
      </w:r>
      <w:r>
        <w:rPr>
          <w:i/>
        </w:rPr>
        <w:t>revenue</w:t>
      </w:r>
      <w:r>
        <w:t>.</w:t>
      </w:r>
    </w:p>
    <w:p w14:paraId="202FC20B" w14:textId="4EBDD747" w:rsidR="001838B8" w:rsidRDefault="00A731EB">
      <w:pPr>
        <w:jc w:val="both"/>
      </w:pPr>
      <w:r>
        <w:t xml:space="preserve">The MAR curve allows a user to have a quick graphical comparison among all the selected options in terms of their cost efficiency in reducing </w:t>
      </w:r>
      <w:r w:rsidR="002872D0">
        <w:t>GHG</w:t>
      </w:r>
      <w:r>
        <w:t xml:space="preserve"> emissions.</w:t>
      </w:r>
    </w:p>
    <w:p w14:paraId="09B1F8F3" w14:textId="553911DB" w:rsidR="00B85D2C" w:rsidRDefault="00B85D2C">
      <w:pPr>
        <w:jc w:val="both"/>
      </w:pPr>
      <w:r w:rsidRPr="00B85D2C">
        <w:t xml:space="preserve">To update </w:t>
      </w:r>
      <w:r>
        <w:t xml:space="preserve">the </w:t>
      </w:r>
      <w:r w:rsidRPr="00B85D2C">
        <w:t>MAR curve</w:t>
      </w:r>
      <w:r>
        <w:t>s</w:t>
      </w:r>
      <w:r w:rsidRPr="00B85D2C">
        <w:t xml:space="preserve"> in 2025, 2030, 2035</w:t>
      </w:r>
      <w:r w:rsidR="001C10D5">
        <w:t>,</w:t>
      </w:r>
      <w:r w:rsidRPr="00B85D2C">
        <w:t xml:space="preserve"> </w:t>
      </w:r>
      <w:r w:rsidR="005E2780">
        <w:t xml:space="preserve">2040, 2045, </w:t>
      </w:r>
      <w:r w:rsidRPr="00B85D2C">
        <w:t xml:space="preserve">and 2050 in the Results sheet the user </w:t>
      </w:r>
      <w:r w:rsidR="00FD7C56">
        <w:t>can</w:t>
      </w:r>
      <w:r w:rsidR="00FD7C56" w:rsidRPr="00B85D2C">
        <w:t xml:space="preserve"> </w:t>
      </w:r>
      <w:r w:rsidRPr="00B85D2C">
        <w:t xml:space="preserve">press </w:t>
      </w:r>
      <w:r w:rsidR="001C10D5">
        <w:t xml:space="preserve">the </w:t>
      </w:r>
      <w:r w:rsidRPr="00B85D2C">
        <w:t>“Adjust MAR curves” button for each year in the Mitigation options” sheet.</w:t>
      </w:r>
    </w:p>
    <w:p w14:paraId="202FC20C" w14:textId="5410A100" w:rsidR="001838B8" w:rsidRDefault="00A731EB">
      <w:pPr>
        <w:jc w:val="both"/>
      </w:pPr>
      <w:r>
        <w:t xml:space="preserve">In the graph of the MAR curve made by </w:t>
      </w:r>
      <w:r w:rsidR="00AA58DD">
        <w:t xml:space="preserve">the </w:t>
      </w:r>
      <w:r>
        <w:t>GACMO</w:t>
      </w:r>
      <w:r w:rsidR="00AA58DD">
        <w:t xml:space="preserve"> tool</w:t>
      </w:r>
      <w:r>
        <w:t xml:space="preserve">, all the options which are located above the X-axis are "win-win" options. It means that their implementation would allow reducing the </w:t>
      </w:r>
      <w:r w:rsidR="002872D0">
        <w:t>GHG</w:t>
      </w:r>
      <w:r>
        <w:t xml:space="preserve"> emissions compared to the reference option while, at the same time, their implementation would allow the country to make a cost saving in comparison to the implementation cost of the reference option. The size of the area representing one mitigation option in the graph is proportional to the total amount of </w:t>
      </w:r>
      <w:r w:rsidR="002872D0">
        <w:t>GHG</w:t>
      </w:r>
      <w:r>
        <w:t xml:space="preserve"> emissions reduced by the option.</w:t>
      </w:r>
    </w:p>
    <w:p w14:paraId="202FC20D" w14:textId="43D31934" w:rsidR="001838B8" w:rsidRDefault="00A731EB">
      <w:pPr>
        <w:jc w:val="both"/>
      </w:pPr>
      <w:r>
        <w:t xml:space="preserve">If the user would like to use </w:t>
      </w:r>
      <w:r w:rsidR="00AA58DD">
        <w:t xml:space="preserve">the </w:t>
      </w:r>
      <w:r>
        <w:t>GACMO</w:t>
      </w:r>
      <w:r w:rsidR="00AA58DD">
        <w:t xml:space="preserve"> tool</w:t>
      </w:r>
      <w:r>
        <w:t xml:space="preserve"> for </w:t>
      </w:r>
      <w:r w:rsidR="00F12493">
        <w:t>Tracking</w:t>
      </w:r>
      <w:r>
        <w:t xml:space="preserve"> purposes, the </w:t>
      </w:r>
      <w:r w:rsidR="00A26443">
        <w:t>Tracking</w:t>
      </w:r>
      <w:r>
        <w:t xml:space="preserve"> </w:t>
      </w:r>
      <w:r w:rsidR="00090C5F">
        <w:t xml:space="preserve">progress </w:t>
      </w:r>
      <w:r>
        <w:t xml:space="preserve">sheet can be accessed by clicking </w:t>
      </w:r>
      <w:r>
        <w:rPr>
          <w:color w:val="0070C0"/>
        </w:rPr>
        <w:t>“Go to Step 9”</w:t>
      </w:r>
      <w:r>
        <w:t>.</w:t>
      </w:r>
    </w:p>
    <w:p w14:paraId="202FC20F" w14:textId="3B79C54E" w:rsidR="001838B8" w:rsidRDefault="00A731EB" w:rsidP="00B92E01">
      <w:pPr>
        <w:pStyle w:val="Heading2"/>
        <w:rPr>
          <w:color w:val="5B9BD5"/>
          <w:sz w:val="24"/>
          <w:szCs w:val="24"/>
          <w:u w:val="single"/>
        </w:rPr>
      </w:pPr>
      <w:bookmarkStart w:id="18" w:name="_Toc151557935"/>
      <w:r>
        <w:rPr>
          <w:color w:val="5B9BD5"/>
          <w:sz w:val="24"/>
          <w:szCs w:val="24"/>
          <w:u w:val="single"/>
        </w:rPr>
        <w:t xml:space="preserve">STEP 9 = The </w:t>
      </w:r>
      <w:r w:rsidR="00EF7D9B">
        <w:rPr>
          <w:color w:val="5B9BD5"/>
          <w:sz w:val="24"/>
          <w:szCs w:val="24"/>
          <w:u w:val="single"/>
        </w:rPr>
        <w:t>Tracking</w:t>
      </w:r>
      <w:r w:rsidR="00090C5F">
        <w:rPr>
          <w:color w:val="5B9BD5"/>
          <w:sz w:val="24"/>
          <w:szCs w:val="24"/>
          <w:u w:val="single"/>
        </w:rPr>
        <w:t xml:space="preserve"> progress</w:t>
      </w:r>
      <w:r w:rsidR="00EF7D9B">
        <w:rPr>
          <w:color w:val="5B9BD5"/>
          <w:sz w:val="24"/>
          <w:szCs w:val="24"/>
          <w:u w:val="single"/>
        </w:rPr>
        <w:t xml:space="preserve"> </w:t>
      </w:r>
      <w:r>
        <w:rPr>
          <w:color w:val="5B9BD5"/>
          <w:sz w:val="24"/>
          <w:szCs w:val="24"/>
          <w:u w:val="single"/>
        </w:rPr>
        <w:t>sheet:</w:t>
      </w:r>
      <w:bookmarkEnd w:id="18"/>
    </w:p>
    <w:p w14:paraId="202FC210" w14:textId="50146598" w:rsidR="001838B8" w:rsidRDefault="00A731EB">
      <w:pPr>
        <w:jc w:val="both"/>
      </w:pPr>
      <w:r>
        <w:t xml:space="preserve">This spreadsheet is used to monitor the progress made in implementing each mitigation action. The </w:t>
      </w:r>
      <w:r w:rsidR="003142AB">
        <w:t xml:space="preserve">Tracking </w:t>
      </w:r>
      <w:r w:rsidR="00090C5F">
        <w:t xml:space="preserve">progress </w:t>
      </w:r>
      <w:r>
        <w:t>sheet is used ex-post, that is, once the mitigation options are under implementation or have been implemented, to estimate and monitor the effective reductions of the GHG emissions.</w:t>
      </w:r>
    </w:p>
    <w:p w14:paraId="202FC211" w14:textId="410D40E0" w:rsidR="001838B8" w:rsidRDefault="00A731EB">
      <w:pPr>
        <w:jc w:val="both"/>
      </w:pPr>
      <w:r>
        <w:t xml:space="preserve">The </w:t>
      </w:r>
      <w:r w:rsidR="00410430">
        <w:t>Tracking</w:t>
      </w:r>
      <w:r>
        <w:t xml:space="preserve"> </w:t>
      </w:r>
      <w:r w:rsidR="00090C5F">
        <w:t xml:space="preserve">progress </w:t>
      </w:r>
      <w:r>
        <w:t xml:space="preserve">sheet can be used for tracking progress and achievement of specific mitigation options, for example in the context of an NDC. This sheet can thus be used as a tool for supporting the monitoring of the progress in implementing and achieving a </w:t>
      </w:r>
      <w:r w:rsidR="00DC4D79">
        <w:t xml:space="preserve">country´s </w:t>
      </w:r>
      <w:r>
        <w:t>NDC.</w:t>
      </w:r>
    </w:p>
    <w:p w14:paraId="40C00122" w14:textId="7BEAF140" w:rsidR="005A413F" w:rsidRDefault="00BC4891" w:rsidP="005A413F">
      <w:pPr>
        <w:jc w:val="both"/>
      </w:pPr>
      <w:r>
        <w:t>T</w:t>
      </w:r>
      <w:r w:rsidR="00AD4E0A" w:rsidRPr="005A413F">
        <w:t>he</w:t>
      </w:r>
      <w:r w:rsidR="006B2A69" w:rsidRPr="005A413F">
        <w:t xml:space="preserve"> results from the</w:t>
      </w:r>
      <w:r w:rsidR="00AD4E0A" w:rsidRPr="005A413F">
        <w:t xml:space="preserve"> GACMO tool can be used </w:t>
      </w:r>
      <w:r w:rsidR="006B2A69" w:rsidRPr="005A413F">
        <w:t xml:space="preserve">as inputs </w:t>
      </w:r>
      <w:r w:rsidR="00AD4E0A" w:rsidRPr="005A413F">
        <w:t>for</w:t>
      </w:r>
      <w:r w:rsidR="00F07C35" w:rsidRPr="005A413F">
        <w:t xml:space="preserve"> </w:t>
      </w:r>
      <w:r>
        <w:t>the</w:t>
      </w:r>
      <w:r w:rsidR="00F07C35" w:rsidRPr="005A413F">
        <w:t xml:space="preserve"> </w:t>
      </w:r>
      <w:r w:rsidR="00177D35" w:rsidRPr="005A413F">
        <w:t>biennial transparency report (</w:t>
      </w:r>
      <w:r w:rsidR="00F07C35" w:rsidRPr="005A413F">
        <w:t>BTR</w:t>
      </w:r>
      <w:r w:rsidR="00177D35" w:rsidRPr="005A413F">
        <w:t>)</w:t>
      </w:r>
      <w:r w:rsidR="00292BFD">
        <w:t>,</w:t>
      </w:r>
      <w:r w:rsidR="00F07C35" w:rsidRPr="005A413F">
        <w:t xml:space="preserve"> </w:t>
      </w:r>
      <w:proofErr w:type="gramStart"/>
      <w:r w:rsidR="00F07C35" w:rsidRPr="005A413F">
        <w:t>in particular for</w:t>
      </w:r>
      <w:proofErr w:type="gramEnd"/>
      <w:r w:rsidR="00F07C35" w:rsidRPr="005A413F">
        <w:t xml:space="preserve"> </w:t>
      </w:r>
      <w:r w:rsidR="006B2A69" w:rsidRPr="005A413F">
        <w:t xml:space="preserve">the </w:t>
      </w:r>
      <w:r w:rsidR="002E565A" w:rsidRPr="005A413F">
        <w:t>Common tabular formats</w:t>
      </w:r>
      <w:r w:rsidR="00177D35" w:rsidRPr="005A413F">
        <w:t xml:space="preserve"> (CTF)</w:t>
      </w:r>
      <w:r w:rsidR="002E565A" w:rsidRPr="005A413F">
        <w:t xml:space="preserve"> for the electronic reporting of the </w:t>
      </w:r>
      <w:r w:rsidR="00DC4D79">
        <w:t>“</w:t>
      </w:r>
      <w:r w:rsidR="002E565A" w:rsidRPr="005A413F">
        <w:t>information necessary to track progress made in implementing and achieving nationally determined contributions under Article 4 of the Paris Agreement</w:t>
      </w:r>
      <w:r w:rsidR="007B5346" w:rsidRPr="005A413F">
        <w:t>”</w:t>
      </w:r>
      <w:r w:rsidR="00177D35" w:rsidRPr="005A413F">
        <w:t>.</w:t>
      </w:r>
    </w:p>
    <w:p w14:paraId="1128410C" w14:textId="6C2FAE6B" w:rsidR="00681604" w:rsidRPr="005A413F" w:rsidRDefault="00CD28B6" w:rsidP="005A413F">
      <w:pPr>
        <w:spacing w:after="0"/>
        <w:jc w:val="both"/>
      </w:pPr>
      <w:r w:rsidRPr="005A413F">
        <w:t xml:space="preserve">The following CTF tables can be partially or fully filled </w:t>
      </w:r>
      <w:r w:rsidR="00AA5B4F" w:rsidRPr="005A413F">
        <w:t>with the results of the GACMO tool</w:t>
      </w:r>
      <w:r w:rsidR="00463429" w:rsidRPr="005A413F">
        <w:t xml:space="preserve">, particularly </w:t>
      </w:r>
      <w:r w:rsidR="00934248" w:rsidRPr="005A413F">
        <w:t xml:space="preserve">with </w:t>
      </w:r>
      <w:r w:rsidR="00463429" w:rsidRPr="005A413F">
        <w:t xml:space="preserve">GHG emissions projections in </w:t>
      </w:r>
      <w:r w:rsidR="005A413F">
        <w:t xml:space="preserve">the </w:t>
      </w:r>
      <w:r w:rsidR="00463429" w:rsidRPr="005A413F">
        <w:t>BAU and mitigation scenarios</w:t>
      </w:r>
      <w:r w:rsidRPr="005A413F">
        <w:t>:</w:t>
      </w:r>
    </w:p>
    <w:p w14:paraId="7DA37F53" w14:textId="7CB93422" w:rsidR="00E20536" w:rsidRPr="005A413F" w:rsidRDefault="00CE47F8" w:rsidP="005A413F">
      <w:pPr>
        <w:numPr>
          <w:ilvl w:val="0"/>
          <w:numId w:val="6"/>
        </w:numPr>
        <w:spacing w:after="0"/>
        <w:jc w:val="both"/>
        <w:rPr>
          <w:lang w:val="en-US"/>
        </w:rPr>
      </w:pPr>
      <w:r w:rsidRPr="005A413F">
        <w:rPr>
          <w:lang w:val="en-US"/>
        </w:rPr>
        <w:t>CTF Table 7. Information on projections of greenhouse gas emissions and removals under a ‘with measures’ scenario</w:t>
      </w:r>
    </w:p>
    <w:p w14:paraId="7205A19D" w14:textId="72586F1D" w:rsidR="00E20536" w:rsidRPr="005A413F" w:rsidRDefault="00E20536" w:rsidP="005A413F">
      <w:pPr>
        <w:numPr>
          <w:ilvl w:val="0"/>
          <w:numId w:val="6"/>
        </w:numPr>
        <w:spacing w:after="0"/>
        <w:jc w:val="both"/>
        <w:rPr>
          <w:lang w:val="en-US"/>
        </w:rPr>
      </w:pPr>
      <w:r w:rsidRPr="005A413F">
        <w:rPr>
          <w:lang w:val="en-US"/>
        </w:rPr>
        <w:lastRenderedPageBreak/>
        <w:t>CTF Table 8. Information on projections of greenhouse gas emissions and removals under a ‘with additional measures’ scenario</w:t>
      </w:r>
    </w:p>
    <w:p w14:paraId="58FCBC82" w14:textId="3F72FAD0" w:rsidR="00E20536" w:rsidRPr="005A413F" w:rsidRDefault="00E20536" w:rsidP="005A413F">
      <w:pPr>
        <w:numPr>
          <w:ilvl w:val="0"/>
          <w:numId w:val="6"/>
        </w:numPr>
        <w:spacing w:after="0"/>
        <w:jc w:val="both"/>
        <w:rPr>
          <w:lang w:val="en-US"/>
        </w:rPr>
      </w:pPr>
      <w:r w:rsidRPr="005A413F">
        <w:rPr>
          <w:lang w:val="en-US"/>
        </w:rPr>
        <w:t>CTF Table 9. Information on projections of greenhouse gas emissions and removals under a ‘without measures’ scenario</w:t>
      </w:r>
    </w:p>
    <w:p w14:paraId="7DEF55C2" w14:textId="77777777" w:rsidR="00E20536" w:rsidRPr="005A413F" w:rsidRDefault="00E20536" w:rsidP="005A413F">
      <w:pPr>
        <w:numPr>
          <w:ilvl w:val="0"/>
          <w:numId w:val="6"/>
        </w:numPr>
        <w:spacing w:after="0"/>
        <w:jc w:val="both"/>
        <w:rPr>
          <w:lang w:val="en-US"/>
        </w:rPr>
      </w:pPr>
      <w:r w:rsidRPr="005A413F">
        <w:rPr>
          <w:lang w:val="en-US"/>
        </w:rPr>
        <w:t>CTF Table 10. Projections of key indicators</w:t>
      </w:r>
    </w:p>
    <w:p w14:paraId="10182DFC" w14:textId="77777777" w:rsidR="005A413F" w:rsidRDefault="005A413F" w:rsidP="00055C4F">
      <w:pPr>
        <w:jc w:val="both"/>
      </w:pPr>
    </w:p>
    <w:p w14:paraId="11357B6C" w14:textId="162E6BEF" w:rsidR="00055C4F" w:rsidRPr="005A413F" w:rsidRDefault="005A413F" w:rsidP="00055C4F">
      <w:pPr>
        <w:jc w:val="both"/>
        <w:rPr>
          <w:lang w:val="en-US"/>
        </w:rPr>
      </w:pPr>
      <w:r>
        <w:t xml:space="preserve">The </w:t>
      </w:r>
      <w:r w:rsidR="00055C4F" w:rsidRPr="005A413F">
        <w:t xml:space="preserve">Assumptions used in </w:t>
      </w:r>
      <w:r>
        <w:t xml:space="preserve">the </w:t>
      </w:r>
      <w:r w:rsidR="00055C4F" w:rsidRPr="005A413F">
        <w:t>GACMO</w:t>
      </w:r>
      <w:r>
        <w:t xml:space="preserve"> tool</w:t>
      </w:r>
      <w:r w:rsidR="00055C4F" w:rsidRPr="005A413F">
        <w:t xml:space="preserve"> (e.g.</w:t>
      </w:r>
      <w:r w:rsidR="00594EBB">
        <w:t>,</w:t>
      </w:r>
      <w:r w:rsidR="00055C4F" w:rsidRPr="005A413F">
        <w:t xml:space="preserve"> growth rates) should be reported in the CTF Table</w:t>
      </w:r>
      <w:r w:rsidR="00055C4F" w:rsidRPr="005A413F">
        <w:rPr>
          <w:lang w:val="en-US"/>
        </w:rPr>
        <w:t xml:space="preserve"> 11</w:t>
      </w:r>
      <w:r w:rsidR="00055C4F" w:rsidRPr="005A413F">
        <w:t xml:space="preserve"> “Key underlying assumptions and parameters used for the projections</w:t>
      </w:r>
      <w:r w:rsidR="00055C4F" w:rsidRPr="005A413F">
        <w:rPr>
          <w:lang w:val="en-US"/>
        </w:rPr>
        <w:t>”.</w:t>
      </w:r>
    </w:p>
    <w:p w14:paraId="5BE4ACCB" w14:textId="5F32FB3E" w:rsidR="00D326FA" w:rsidRPr="005A413F" w:rsidRDefault="005A413F" w:rsidP="00055C4F">
      <w:pPr>
        <w:jc w:val="both"/>
      </w:pPr>
      <w:r w:rsidRPr="005A413F">
        <w:rPr>
          <w:lang w:val="en-US"/>
        </w:rPr>
        <w:t xml:space="preserve">The </w:t>
      </w:r>
      <w:r w:rsidR="00D96312" w:rsidRPr="005A413F">
        <w:rPr>
          <w:lang w:val="en-US"/>
        </w:rPr>
        <w:t xml:space="preserve">GACMO </w:t>
      </w:r>
      <w:r w:rsidRPr="005A413F">
        <w:rPr>
          <w:lang w:val="en-US"/>
        </w:rPr>
        <w:t xml:space="preserve">tool </w:t>
      </w:r>
      <w:r w:rsidR="00D96312" w:rsidRPr="005A413F">
        <w:rPr>
          <w:lang w:val="en-US"/>
        </w:rPr>
        <w:t xml:space="preserve">can be used to estimate </w:t>
      </w:r>
      <w:r w:rsidR="00451992" w:rsidRPr="005A413F">
        <w:rPr>
          <w:lang w:val="en-US"/>
        </w:rPr>
        <w:t xml:space="preserve">expected and achieved emissions reductions from the policies and measures. Thus, it can be used to partially fill in </w:t>
      </w:r>
      <w:r w:rsidR="00D96312" w:rsidRPr="005A413F">
        <w:rPr>
          <w:lang w:val="en-US"/>
        </w:rPr>
        <w:t>CTF Table 5 “</w:t>
      </w:r>
      <w:r w:rsidR="00D326FA" w:rsidRPr="005A413F">
        <w:t>Mitigation policies and measures, actions and plans, including those with mitigation co-benefits resulting from adaptation actions and economic diversification plans, related to implementing and achieving a nationally determined contribution under Article 4 of the Paris Agreement</w:t>
      </w:r>
      <w:r w:rsidR="00D96312" w:rsidRPr="005A413F">
        <w:t xml:space="preserve">”. </w:t>
      </w:r>
    </w:p>
    <w:p w14:paraId="21EB5F66" w14:textId="4E339317" w:rsidR="00E20536" w:rsidRPr="005A413F" w:rsidRDefault="00D5169D" w:rsidP="005A413F">
      <w:pPr>
        <w:jc w:val="both"/>
      </w:pPr>
      <w:r w:rsidRPr="005A413F">
        <w:t>A</w:t>
      </w:r>
      <w:r w:rsidR="00B73432">
        <w:t>t</w:t>
      </w:r>
      <w:r w:rsidRPr="005A413F">
        <w:t xml:space="preserve"> the stage of the preparation</w:t>
      </w:r>
      <w:r w:rsidR="00B73432">
        <w:t xml:space="preserve"> or </w:t>
      </w:r>
      <w:r w:rsidRPr="005A413F">
        <w:t xml:space="preserve">update of </w:t>
      </w:r>
      <w:r w:rsidR="00B73432">
        <w:t xml:space="preserve">an </w:t>
      </w:r>
      <w:r w:rsidRPr="005A413F">
        <w:t>NDC,</w:t>
      </w:r>
      <w:r w:rsidR="00B73432">
        <w:t xml:space="preserve"> the</w:t>
      </w:r>
      <w:r w:rsidRPr="005A413F">
        <w:t xml:space="preserve"> GACMO tool </w:t>
      </w:r>
      <w:r w:rsidR="002446B7" w:rsidRPr="005A413F">
        <w:t>can support</w:t>
      </w:r>
      <w:r w:rsidR="00B73432">
        <w:t xml:space="preserve"> the</w:t>
      </w:r>
      <w:r w:rsidR="002446B7" w:rsidRPr="005A413F">
        <w:t xml:space="preserve"> analysis</w:t>
      </w:r>
      <w:r w:rsidRPr="005A413F">
        <w:t xml:space="preserve"> to identify </w:t>
      </w:r>
      <w:r w:rsidRPr="005A413F">
        <w:rPr>
          <w:b/>
          <w:bCs/>
        </w:rPr>
        <w:t xml:space="preserve">economy-wide GHG </w:t>
      </w:r>
      <w:r w:rsidR="001607D9">
        <w:rPr>
          <w:b/>
          <w:bCs/>
        </w:rPr>
        <w:t>targets</w:t>
      </w:r>
      <w:r w:rsidRPr="005A413F">
        <w:t xml:space="preserve"> as well as </w:t>
      </w:r>
      <w:r w:rsidRPr="005A413F">
        <w:rPr>
          <w:b/>
          <w:bCs/>
        </w:rPr>
        <w:t>sectoral targets</w:t>
      </w:r>
      <w:r w:rsidRPr="005A413F">
        <w:t xml:space="preserve"> (e.g.</w:t>
      </w:r>
      <w:r w:rsidR="00007E41">
        <w:t>,</w:t>
      </w:r>
      <w:r w:rsidRPr="005A413F">
        <w:t xml:space="preserve"> capacity of renewable energy, hectares of reforestation, number of electric vehicles etc.) which will be </w:t>
      </w:r>
      <w:r w:rsidRPr="005A413F">
        <w:rPr>
          <w:b/>
          <w:bCs/>
        </w:rPr>
        <w:t>in line with economy-wide GHG emissions target</w:t>
      </w:r>
      <w:r w:rsidRPr="005A413F">
        <w:t>. Thus, it can</w:t>
      </w:r>
      <w:r w:rsidR="00966C85" w:rsidRPr="005A413F">
        <w:t xml:space="preserve"> indirectly</w:t>
      </w:r>
      <w:r w:rsidRPr="005A413F">
        <w:t xml:space="preserve"> </w:t>
      </w:r>
      <w:r w:rsidR="00396008" w:rsidRPr="005A413F">
        <w:t>support filling</w:t>
      </w:r>
      <w:r w:rsidRPr="005A413F">
        <w:t xml:space="preserve"> in</w:t>
      </w:r>
      <w:r w:rsidR="00396008" w:rsidRPr="005A413F">
        <w:t xml:space="preserve"> the</w:t>
      </w:r>
      <w:r w:rsidRPr="005A413F">
        <w:t xml:space="preserve"> following CTF Tables: </w:t>
      </w:r>
    </w:p>
    <w:p w14:paraId="4DE92802" w14:textId="77777777" w:rsidR="00D5169D" w:rsidRPr="005A413F" w:rsidRDefault="00D5169D" w:rsidP="00D5169D">
      <w:pPr>
        <w:pStyle w:val="ListParagraph"/>
        <w:numPr>
          <w:ilvl w:val="0"/>
          <w:numId w:val="6"/>
        </w:numPr>
        <w:jc w:val="both"/>
      </w:pPr>
      <w:r w:rsidRPr="005A413F">
        <w:t>CTF Table 1 “Structured summary: Description of selected indicators”</w:t>
      </w:r>
    </w:p>
    <w:p w14:paraId="04B0AF52" w14:textId="77777777" w:rsidR="00D5169D" w:rsidRPr="005A413F" w:rsidRDefault="00D5169D" w:rsidP="00D5169D">
      <w:pPr>
        <w:pStyle w:val="ListParagraph"/>
        <w:numPr>
          <w:ilvl w:val="0"/>
          <w:numId w:val="6"/>
        </w:numPr>
        <w:jc w:val="both"/>
      </w:pPr>
      <w:r w:rsidRPr="005A413F">
        <w:t>CTF Table 2 “Structured summary: Definitions needed to understand NDC”:</w:t>
      </w:r>
    </w:p>
    <w:p w14:paraId="575DCCA1" w14:textId="77777777" w:rsidR="00D5169D" w:rsidRPr="005A413F" w:rsidRDefault="00D5169D" w:rsidP="00D5169D">
      <w:pPr>
        <w:pStyle w:val="ListParagraph"/>
        <w:numPr>
          <w:ilvl w:val="0"/>
          <w:numId w:val="6"/>
        </w:numPr>
        <w:jc w:val="both"/>
      </w:pPr>
      <w:r w:rsidRPr="005A413F">
        <w:t>CTF Table 3. Methodologies and accounting approaches</w:t>
      </w:r>
    </w:p>
    <w:p w14:paraId="44800E76" w14:textId="77777777" w:rsidR="00D5169D" w:rsidRPr="005A413F" w:rsidRDefault="00D5169D" w:rsidP="00D5169D">
      <w:pPr>
        <w:pStyle w:val="ListParagraph"/>
        <w:numPr>
          <w:ilvl w:val="1"/>
          <w:numId w:val="6"/>
        </w:numPr>
        <w:jc w:val="both"/>
      </w:pPr>
      <w:r w:rsidRPr="005A413F">
        <w:t>Key parameters, assumptions, definitions, data sources and models used.</w:t>
      </w:r>
    </w:p>
    <w:p w14:paraId="7FB793C3" w14:textId="77777777" w:rsidR="00D5169D" w:rsidRPr="005A413F" w:rsidRDefault="00D5169D" w:rsidP="00D5169D">
      <w:pPr>
        <w:pStyle w:val="ListParagraph"/>
        <w:numPr>
          <w:ilvl w:val="1"/>
          <w:numId w:val="6"/>
        </w:numPr>
        <w:jc w:val="both"/>
      </w:pPr>
      <w:r w:rsidRPr="005A413F">
        <w:t>Sector-, category, or activity specific assumptions, methodologies ad approaches</w:t>
      </w:r>
    </w:p>
    <w:p w14:paraId="202FC212" w14:textId="42EB2D4C" w:rsidR="001838B8" w:rsidRDefault="00A731EB">
      <w:pPr>
        <w:spacing w:after="60"/>
        <w:jc w:val="both"/>
      </w:pPr>
      <w:r>
        <w:t xml:space="preserve">The </w:t>
      </w:r>
      <w:r w:rsidR="00051B6D">
        <w:t xml:space="preserve">Tracking </w:t>
      </w:r>
      <w:r w:rsidR="00DE5654">
        <w:t xml:space="preserve">progress </w:t>
      </w:r>
      <w:r>
        <w:t xml:space="preserve">sheet includes a table with a structure </w:t>
      </w:r>
      <w:proofErr w:type="gramStart"/>
      <w:r>
        <w:t>similar to</w:t>
      </w:r>
      <w:proofErr w:type="gramEnd"/>
      <w:r>
        <w:t xml:space="preserve"> the table found in the Mitigation Options sheet. The table includes the 119 </w:t>
      </w:r>
      <w:r w:rsidR="00BA79FA">
        <w:t>mitigation</w:t>
      </w:r>
      <w:r>
        <w:t xml:space="preserve"> options (Reduction options in column C) grouped by category or activity types (Type in column B). All 119 mitigation options are shown by default. If the user wants to see only the mitigation options for a specific group of category or activity types, the user can select the corresponding category/</w:t>
      </w:r>
      <w:proofErr w:type="spellStart"/>
      <w:r>
        <w:t>ies</w:t>
      </w:r>
      <w:proofErr w:type="spellEnd"/>
      <w:r>
        <w:t xml:space="preserve"> or activity/</w:t>
      </w:r>
      <w:proofErr w:type="spellStart"/>
      <w:r>
        <w:t>ies</w:t>
      </w:r>
      <w:proofErr w:type="spellEnd"/>
      <w:r>
        <w:t xml:space="preserve"> by clicking </w:t>
      </w:r>
      <w:r>
        <w:rPr>
          <w:color w:val="0070C0"/>
        </w:rPr>
        <w:t xml:space="preserve">“Select sector/type for </w:t>
      </w:r>
      <w:r w:rsidR="00F12493">
        <w:rPr>
          <w:color w:val="0070C0"/>
        </w:rPr>
        <w:t>Tracking</w:t>
      </w:r>
      <w:r>
        <w:rPr>
          <w:color w:val="0070C0"/>
        </w:rPr>
        <w:t xml:space="preserve"> input”</w:t>
      </w:r>
      <w:r>
        <w:t>.</w:t>
      </w:r>
    </w:p>
    <w:p w14:paraId="202FC214" w14:textId="570B51A1" w:rsidR="001838B8" w:rsidRDefault="00A731EB">
      <w:pPr>
        <w:jc w:val="both"/>
        <w:rPr>
          <w:rFonts w:ascii="Montserrat" w:eastAsia="Montserrat" w:hAnsi="Montserrat" w:cs="Montserrat"/>
          <w:color w:val="1F497D"/>
        </w:rPr>
      </w:pPr>
      <w:r>
        <w:t xml:space="preserve">For each mitigation option under implementation, the user must introduce the number of </w:t>
      </w:r>
      <w:r>
        <w:rPr>
          <w:i/>
        </w:rPr>
        <w:t>additional</w:t>
      </w:r>
      <w:r>
        <w:t xml:space="preserve"> units which has been put in operation at the end of a specific year (column </w:t>
      </w:r>
      <w:r w:rsidR="00AB2750">
        <w:t>K</w:t>
      </w:r>
      <w:r>
        <w:t xml:space="preserve"> to </w:t>
      </w:r>
      <w:r w:rsidR="00AB2750">
        <w:t>Y</w:t>
      </w:r>
      <w:r>
        <w:t xml:space="preserve">). The user can thus follow the implementation of each mitigation option and monitor how many units have been installed at the end of each year. </w:t>
      </w:r>
      <w:r w:rsidR="00AA58DD">
        <w:t xml:space="preserve">The </w:t>
      </w:r>
      <w:r>
        <w:t>GACMO</w:t>
      </w:r>
      <w:r w:rsidR="00AA58DD">
        <w:t xml:space="preserve"> tool</w:t>
      </w:r>
      <w:r>
        <w:t xml:space="preserve"> will calculate the </w:t>
      </w:r>
      <w:r w:rsidR="002872D0">
        <w:t>GHG</w:t>
      </w:r>
      <w:r>
        <w:t xml:space="preserve"> emissions reduction for each mitigation option and shows the accumulated </w:t>
      </w:r>
      <w:r w:rsidR="002872D0">
        <w:t>GHG</w:t>
      </w:r>
      <w:r>
        <w:t xml:space="preserve"> emissions reduction achieved through the implementation of the different option (column </w:t>
      </w:r>
      <w:r w:rsidR="00AB2750">
        <w:t>Z</w:t>
      </w:r>
      <w:r>
        <w:t>).</w:t>
      </w:r>
      <w:r w:rsidR="00D66F53">
        <w:t xml:space="preserve"> As of now, the progression of the implementation is shown towards</w:t>
      </w:r>
      <w:r w:rsidR="00AB2750">
        <w:t xml:space="preserve"> </w:t>
      </w:r>
      <w:r w:rsidR="004B715C">
        <w:t xml:space="preserve">2030 (Column AA) by comparing the total number of units installed with the total </w:t>
      </w:r>
      <w:r w:rsidR="00155257">
        <w:t xml:space="preserve">number </w:t>
      </w:r>
      <w:r w:rsidR="004B715C">
        <w:t>of units</w:t>
      </w:r>
      <w:r w:rsidR="00155257">
        <w:t xml:space="preserve"> planned by 2030.</w:t>
      </w:r>
      <w:r>
        <w:br w:type="page"/>
      </w:r>
    </w:p>
    <w:p w14:paraId="202FC215" w14:textId="404B1D60" w:rsidR="001838B8" w:rsidRPr="00F10795" w:rsidRDefault="00A731EB" w:rsidP="00F10795">
      <w:pPr>
        <w:pStyle w:val="Heading1"/>
        <w:spacing w:before="120" w:after="120"/>
        <w:jc w:val="center"/>
        <w:rPr>
          <w:rFonts w:ascii="Calibri" w:eastAsia="Calibri" w:hAnsi="Calibri" w:cs="Calibri"/>
          <w:sz w:val="36"/>
          <w:szCs w:val="36"/>
        </w:rPr>
      </w:pPr>
      <w:bookmarkStart w:id="19" w:name="_Toc151557936"/>
      <w:r w:rsidRPr="00F10795">
        <w:rPr>
          <w:rFonts w:ascii="Calibri" w:eastAsia="Calibri" w:hAnsi="Calibri" w:cs="Calibri"/>
          <w:sz w:val="36"/>
          <w:szCs w:val="36"/>
        </w:rPr>
        <w:lastRenderedPageBreak/>
        <w:t>APPENDIX 1 - List of emitting categories of activity included in</w:t>
      </w:r>
      <w:r w:rsidR="00AA58DD" w:rsidRPr="00F10795">
        <w:rPr>
          <w:rFonts w:ascii="Calibri" w:eastAsia="Calibri" w:hAnsi="Calibri" w:cs="Calibri"/>
          <w:sz w:val="36"/>
          <w:szCs w:val="36"/>
        </w:rPr>
        <w:t xml:space="preserve"> the</w:t>
      </w:r>
      <w:r w:rsidRPr="00F10795">
        <w:rPr>
          <w:rFonts w:ascii="Calibri" w:eastAsia="Calibri" w:hAnsi="Calibri" w:cs="Calibri"/>
          <w:sz w:val="36"/>
          <w:szCs w:val="36"/>
        </w:rPr>
        <w:t xml:space="preserve"> GACMO</w:t>
      </w:r>
      <w:r w:rsidR="00AA58DD" w:rsidRPr="00F10795">
        <w:rPr>
          <w:rFonts w:ascii="Calibri" w:eastAsia="Calibri" w:hAnsi="Calibri" w:cs="Calibri"/>
          <w:sz w:val="36"/>
          <w:szCs w:val="36"/>
        </w:rPr>
        <w:t xml:space="preserve"> tool</w:t>
      </w:r>
      <w:bookmarkEnd w:id="19"/>
    </w:p>
    <w:p w14:paraId="202FC216" w14:textId="77777777" w:rsidR="001838B8" w:rsidRDefault="001838B8">
      <w:pPr>
        <w:jc w:val="both"/>
      </w:pPr>
    </w:p>
    <w:p w14:paraId="202FC217" w14:textId="68477257" w:rsidR="001838B8" w:rsidRDefault="00A731EB">
      <w:pPr>
        <w:jc w:val="both"/>
      </w:pPr>
      <w:r>
        <w:t xml:space="preserve">The categories of activities considered as source of </w:t>
      </w:r>
      <w:r w:rsidR="002872D0">
        <w:t>GHG</w:t>
      </w:r>
      <w:r>
        <w:t xml:space="preserve"> emissions from human activities included in </w:t>
      </w:r>
      <w:r w:rsidR="00AA58DD">
        <w:t xml:space="preserve">the </w:t>
      </w:r>
      <w:r>
        <w:t>GACMO</w:t>
      </w:r>
      <w:r w:rsidR="00AA58DD">
        <w:t xml:space="preserve"> tool</w:t>
      </w:r>
      <w:r>
        <w:t xml:space="preserve"> are based on the categorization established by the IPCC. The categories in </w:t>
      </w:r>
      <w:r w:rsidR="00AA58DD">
        <w:t>the tool</w:t>
      </w:r>
      <w:r>
        <w:t xml:space="preserve"> are:</w:t>
      </w:r>
    </w:p>
    <w:tbl>
      <w:tblPr>
        <w:tblStyle w:val="3"/>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tblGrid>
      <w:tr w:rsidR="001838B8" w14:paraId="202FC219" w14:textId="77777777">
        <w:trPr>
          <w:trHeight w:val="290"/>
        </w:trPr>
        <w:tc>
          <w:tcPr>
            <w:tcW w:w="5098" w:type="dxa"/>
            <w:tcBorders>
              <w:top w:val="nil"/>
              <w:left w:val="nil"/>
              <w:bottom w:val="nil"/>
              <w:right w:val="nil"/>
            </w:tcBorders>
          </w:tcPr>
          <w:p w14:paraId="202FC218" w14:textId="77777777" w:rsidR="001838B8" w:rsidRDefault="00A731EB">
            <w:pPr>
              <w:jc w:val="both"/>
            </w:pPr>
            <w:r>
              <w:t>For CO</w:t>
            </w:r>
            <w:r>
              <w:rPr>
                <w:vertAlign w:val="subscript"/>
              </w:rPr>
              <w:t>2</w:t>
            </w:r>
            <w:r>
              <w:t xml:space="preserve"> emissions:</w:t>
            </w:r>
          </w:p>
        </w:tc>
      </w:tr>
      <w:tr w:rsidR="001838B8" w14:paraId="202FC21B" w14:textId="77777777">
        <w:trPr>
          <w:trHeight w:val="290"/>
        </w:trPr>
        <w:tc>
          <w:tcPr>
            <w:tcW w:w="5098" w:type="dxa"/>
            <w:tcBorders>
              <w:top w:val="nil"/>
              <w:left w:val="nil"/>
              <w:bottom w:val="single" w:sz="4" w:space="0" w:color="000000"/>
              <w:right w:val="nil"/>
            </w:tcBorders>
          </w:tcPr>
          <w:p w14:paraId="202FC21A" w14:textId="77777777" w:rsidR="001838B8" w:rsidRDefault="001838B8">
            <w:pPr>
              <w:jc w:val="both"/>
            </w:pPr>
          </w:p>
        </w:tc>
      </w:tr>
      <w:tr w:rsidR="001838B8" w14:paraId="202FC21D" w14:textId="77777777">
        <w:trPr>
          <w:trHeight w:val="290"/>
        </w:trPr>
        <w:tc>
          <w:tcPr>
            <w:tcW w:w="5098" w:type="dxa"/>
            <w:tcBorders>
              <w:top w:val="single" w:sz="4" w:space="0" w:color="000000"/>
            </w:tcBorders>
            <w:shd w:val="clear" w:color="auto" w:fill="A6A6A6"/>
          </w:tcPr>
          <w:p w14:paraId="202FC21C" w14:textId="77777777" w:rsidR="001838B8" w:rsidRDefault="00A731EB">
            <w:pPr>
              <w:jc w:val="both"/>
              <w:rPr>
                <w:b/>
                <w:color w:val="FFFFFF"/>
              </w:rPr>
            </w:pPr>
            <w:r>
              <w:rPr>
                <w:b/>
                <w:color w:val="FFFFFF"/>
              </w:rPr>
              <w:t>ENERGY PRODUCTION - Fossil power plants</w:t>
            </w:r>
          </w:p>
        </w:tc>
      </w:tr>
      <w:tr w:rsidR="001838B8" w14:paraId="202FC21F" w14:textId="77777777">
        <w:trPr>
          <w:trHeight w:val="290"/>
        </w:trPr>
        <w:tc>
          <w:tcPr>
            <w:tcW w:w="5098" w:type="dxa"/>
            <w:shd w:val="clear" w:color="auto" w:fill="A6A6A6"/>
          </w:tcPr>
          <w:p w14:paraId="202FC21E" w14:textId="77777777" w:rsidR="001838B8" w:rsidRDefault="00A731EB">
            <w:pPr>
              <w:jc w:val="both"/>
              <w:rPr>
                <w:b/>
                <w:color w:val="FFFFFF"/>
              </w:rPr>
            </w:pPr>
            <w:r>
              <w:rPr>
                <w:b/>
                <w:color w:val="FFFFFF"/>
              </w:rPr>
              <w:t>FINAL CONSUMPTION</w:t>
            </w:r>
          </w:p>
        </w:tc>
      </w:tr>
      <w:tr w:rsidR="001838B8" w14:paraId="202FC221" w14:textId="77777777">
        <w:trPr>
          <w:trHeight w:val="290"/>
        </w:trPr>
        <w:tc>
          <w:tcPr>
            <w:tcW w:w="5098" w:type="dxa"/>
            <w:shd w:val="clear" w:color="auto" w:fill="D9D9D9"/>
          </w:tcPr>
          <w:p w14:paraId="202FC220" w14:textId="77777777" w:rsidR="001838B8" w:rsidRDefault="00A731EB">
            <w:pPr>
              <w:jc w:val="both"/>
            </w:pPr>
            <w:r>
              <w:t xml:space="preserve">    </w:t>
            </w:r>
            <w:r>
              <w:rPr>
                <w:b/>
              </w:rPr>
              <w:t>Industry</w:t>
            </w:r>
            <w:r>
              <w:t xml:space="preserve"> - steel</w:t>
            </w:r>
          </w:p>
        </w:tc>
      </w:tr>
      <w:tr w:rsidR="001838B8" w14:paraId="202FC223" w14:textId="77777777">
        <w:trPr>
          <w:trHeight w:val="290"/>
        </w:trPr>
        <w:tc>
          <w:tcPr>
            <w:tcW w:w="5098" w:type="dxa"/>
            <w:shd w:val="clear" w:color="auto" w:fill="D9D9D9"/>
          </w:tcPr>
          <w:p w14:paraId="202FC222" w14:textId="77777777" w:rsidR="001838B8" w:rsidRDefault="00A731EB">
            <w:pPr>
              <w:jc w:val="both"/>
            </w:pPr>
            <w:r>
              <w:t xml:space="preserve">    </w:t>
            </w:r>
            <w:r>
              <w:rPr>
                <w:b/>
              </w:rPr>
              <w:t>Industry</w:t>
            </w:r>
            <w:r>
              <w:t xml:space="preserve"> - chemical</w:t>
            </w:r>
          </w:p>
        </w:tc>
      </w:tr>
      <w:tr w:rsidR="001838B8" w14:paraId="202FC225" w14:textId="77777777">
        <w:trPr>
          <w:trHeight w:val="290"/>
        </w:trPr>
        <w:tc>
          <w:tcPr>
            <w:tcW w:w="5098" w:type="dxa"/>
            <w:shd w:val="clear" w:color="auto" w:fill="D9D9D9"/>
          </w:tcPr>
          <w:p w14:paraId="202FC224" w14:textId="77777777" w:rsidR="001838B8" w:rsidRDefault="00A731EB">
            <w:pPr>
              <w:jc w:val="both"/>
            </w:pPr>
            <w:r>
              <w:t xml:space="preserve">    </w:t>
            </w:r>
            <w:r>
              <w:rPr>
                <w:b/>
              </w:rPr>
              <w:t>Industry</w:t>
            </w:r>
            <w:r>
              <w:t xml:space="preserve"> - </w:t>
            </w:r>
            <w:proofErr w:type="spellStart"/>
            <w:r>
              <w:t>non metallic</w:t>
            </w:r>
            <w:proofErr w:type="spellEnd"/>
            <w:r>
              <w:t xml:space="preserve"> mineral</w:t>
            </w:r>
          </w:p>
        </w:tc>
      </w:tr>
      <w:tr w:rsidR="001838B8" w14:paraId="202FC227" w14:textId="77777777">
        <w:trPr>
          <w:trHeight w:val="290"/>
        </w:trPr>
        <w:tc>
          <w:tcPr>
            <w:tcW w:w="5098" w:type="dxa"/>
            <w:shd w:val="clear" w:color="auto" w:fill="D9D9D9"/>
          </w:tcPr>
          <w:p w14:paraId="202FC226" w14:textId="77777777" w:rsidR="001838B8" w:rsidRDefault="00A731EB">
            <w:pPr>
              <w:jc w:val="both"/>
            </w:pPr>
            <w:r>
              <w:t xml:space="preserve">    </w:t>
            </w:r>
            <w:r>
              <w:rPr>
                <w:b/>
              </w:rPr>
              <w:t>Industry</w:t>
            </w:r>
            <w:r>
              <w:t xml:space="preserve"> - food processing and beverage</w:t>
            </w:r>
          </w:p>
        </w:tc>
      </w:tr>
      <w:tr w:rsidR="001838B8" w14:paraId="202FC229" w14:textId="77777777">
        <w:trPr>
          <w:trHeight w:val="290"/>
        </w:trPr>
        <w:tc>
          <w:tcPr>
            <w:tcW w:w="5098" w:type="dxa"/>
            <w:shd w:val="clear" w:color="auto" w:fill="D9D9D9"/>
          </w:tcPr>
          <w:p w14:paraId="202FC228" w14:textId="77777777" w:rsidR="001838B8" w:rsidRDefault="00A731EB">
            <w:pPr>
              <w:jc w:val="both"/>
            </w:pPr>
            <w:r>
              <w:t xml:space="preserve">    </w:t>
            </w:r>
            <w:r>
              <w:rPr>
                <w:b/>
              </w:rPr>
              <w:t>Industry</w:t>
            </w:r>
            <w:r>
              <w:t xml:space="preserve"> - construction</w:t>
            </w:r>
          </w:p>
        </w:tc>
      </w:tr>
      <w:tr w:rsidR="001838B8" w14:paraId="202FC22B" w14:textId="77777777">
        <w:trPr>
          <w:trHeight w:val="290"/>
        </w:trPr>
        <w:tc>
          <w:tcPr>
            <w:tcW w:w="5098" w:type="dxa"/>
            <w:shd w:val="clear" w:color="auto" w:fill="D9D9D9"/>
          </w:tcPr>
          <w:p w14:paraId="202FC22A" w14:textId="77777777" w:rsidR="001838B8" w:rsidRDefault="00A731EB">
            <w:pPr>
              <w:jc w:val="both"/>
            </w:pPr>
            <w:r>
              <w:t xml:space="preserve">    </w:t>
            </w:r>
            <w:r>
              <w:rPr>
                <w:b/>
              </w:rPr>
              <w:t>Industry</w:t>
            </w:r>
            <w:r>
              <w:t xml:space="preserve"> - mining</w:t>
            </w:r>
          </w:p>
        </w:tc>
      </w:tr>
      <w:tr w:rsidR="001838B8" w14:paraId="202FC22D" w14:textId="77777777">
        <w:trPr>
          <w:trHeight w:val="290"/>
        </w:trPr>
        <w:tc>
          <w:tcPr>
            <w:tcW w:w="5098" w:type="dxa"/>
            <w:shd w:val="clear" w:color="auto" w:fill="D9D9D9"/>
          </w:tcPr>
          <w:p w14:paraId="202FC22C" w14:textId="77777777" w:rsidR="001838B8" w:rsidRDefault="00A731EB">
            <w:pPr>
              <w:jc w:val="both"/>
            </w:pPr>
            <w:r>
              <w:t xml:space="preserve">    </w:t>
            </w:r>
            <w:r>
              <w:rPr>
                <w:b/>
              </w:rPr>
              <w:t>Industry</w:t>
            </w:r>
            <w:r>
              <w:t xml:space="preserve"> - machinery</w:t>
            </w:r>
          </w:p>
        </w:tc>
      </w:tr>
      <w:tr w:rsidR="001838B8" w14:paraId="202FC22F" w14:textId="77777777">
        <w:trPr>
          <w:trHeight w:val="290"/>
        </w:trPr>
        <w:tc>
          <w:tcPr>
            <w:tcW w:w="5098" w:type="dxa"/>
            <w:shd w:val="clear" w:color="auto" w:fill="D9D9D9"/>
          </w:tcPr>
          <w:p w14:paraId="202FC22E" w14:textId="77777777" w:rsidR="001838B8" w:rsidRDefault="00A731EB">
            <w:pPr>
              <w:jc w:val="both"/>
            </w:pPr>
            <w:r>
              <w:t xml:space="preserve">    </w:t>
            </w:r>
            <w:r>
              <w:rPr>
                <w:b/>
              </w:rPr>
              <w:t>Industry</w:t>
            </w:r>
            <w:r>
              <w:t xml:space="preserve"> - </w:t>
            </w:r>
            <w:proofErr w:type="spellStart"/>
            <w:proofErr w:type="gramStart"/>
            <w:r>
              <w:t>non ferrous</w:t>
            </w:r>
            <w:proofErr w:type="spellEnd"/>
            <w:proofErr w:type="gramEnd"/>
            <w:r>
              <w:t xml:space="preserve"> metals</w:t>
            </w:r>
          </w:p>
        </w:tc>
      </w:tr>
      <w:tr w:rsidR="001838B8" w14:paraId="202FC231" w14:textId="77777777">
        <w:trPr>
          <w:trHeight w:val="290"/>
        </w:trPr>
        <w:tc>
          <w:tcPr>
            <w:tcW w:w="5098" w:type="dxa"/>
            <w:shd w:val="clear" w:color="auto" w:fill="D9D9D9"/>
          </w:tcPr>
          <w:p w14:paraId="202FC230" w14:textId="77777777" w:rsidR="001838B8" w:rsidRDefault="00A731EB">
            <w:pPr>
              <w:jc w:val="both"/>
            </w:pPr>
            <w:r>
              <w:t xml:space="preserve">    </w:t>
            </w:r>
            <w:r>
              <w:rPr>
                <w:b/>
              </w:rPr>
              <w:t>Industry</w:t>
            </w:r>
            <w:r>
              <w:t xml:space="preserve"> - paper and pulp</w:t>
            </w:r>
          </w:p>
        </w:tc>
      </w:tr>
      <w:tr w:rsidR="001838B8" w14:paraId="202FC233" w14:textId="77777777">
        <w:trPr>
          <w:trHeight w:val="290"/>
        </w:trPr>
        <w:tc>
          <w:tcPr>
            <w:tcW w:w="5098" w:type="dxa"/>
            <w:shd w:val="clear" w:color="auto" w:fill="D9D9D9"/>
          </w:tcPr>
          <w:p w14:paraId="202FC232" w14:textId="77777777" w:rsidR="001838B8" w:rsidRDefault="00A731EB">
            <w:pPr>
              <w:jc w:val="both"/>
            </w:pPr>
            <w:r>
              <w:t xml:space="preserve">    </w:t>
            </w:r>
            <w:r>
              <w:rPr>
                <w:b/>
              </w:rPr>
              <w:t>Industry</w:t>
            </w:r>
            <w:r>
              <w:t xml:space="preserve"> - transport equipment</w:t>
            </w:r>
          </w:p>
        </w:tc>
      </w:tr>
      <w:tr w:rsidR="001838B8" w14:paraId="202FC235" w14:textId="77777777">
        <w:trPr>
          <w:trHeight w:val="290"/>
        </w:trPr>
        <w:tc>
          <w:tcPr>
            <w:tcW w:w="5098" w:type="dxa"/>
            <w:shd w:val="clear" w:color="auto" w:fill="D9D9D9"/>
          </w:tcPr>
          <w:p w14:paraId="202FC234" w14:textId="77777777" w:rsidR="001838B8" w:rsidRDefault="00A731EB">
            <w:pPr>
              <w:jc w:val="both"/>
            </w:pPr>
            <w:r>
              <w:t xml:space="preserve">    </w:t>
            </w:r>
            <w:r>
              <w:rPr>
                <w:b/>
              </w:rPr>
              <w:t>Industry</w:t>
            </w:r>
            <w:r>
              <w:t xml:space="preserve"> - textile and leather</w:t>
            </w:r>
          </w:p>
        </w:tc>
      </w:tr>
      <w:tr w:rsidR="001838B8" w14:paraId="202FC237" w14:textId="77777777">
        <w:trPr>
          <w:trHeight w:val="290"/>
        </w:trPr>
        <w:tc>
          <w:tcPr>
            <w:tcW w:w="5098" w:type="dxa"/>
            <w:shd w:val="clear" w:color="auto" w:fill="D9D9D9"/>
          </w:tcPr>
          <w:p w14:paraId="202FC236" w14:textId="77777777" w:rsidR="001838B8" w:rsidRDefault="00A731EB">
            <w:pPr>
              <w:jc w:val="both"/>
            </w:pPr>
            <w:r>
              <w:t xml:space="preserve">    </w:t>
            </w:r>
            <w:r>
              <w:rPr>
                <w:b/>
              </w:rPr>
              <w:t>Industry</w:t>
            </w:r>
            <w:r>
              <w:t xml:space="preserve"> - miscellaneous</w:t>
            </w:r>
          </w:p>
        </w:tc>
      </w:tr>
      <w:tr w:rsidR="001838B8" w14:paraId="202FC239" w14:textId="77777777">
        <w:trPr>
          <w:trHeight w:val="290"/>
        </w:trPr>
        <w:tc>
          <w:tcPr>
            <w:tcW w:w="5098" w:type="dxa"/>
            <w:shd w:val="clear" w:color="auto" w:fill="F2F2F2"/>
          </w:tcPr>
          <w:p w14:paraId="202FC238" w14:textId="77777777" w:rsidR="001838B8" w:rsidRDefault="00A731EB">
            <w:pPr>
              <w:jc w:val="both"/>
            </w:pPr>
            <w:r>
              <w:t xml:space="preserve">    </w:t>
            </w:r>
            <w:r>
              <w:rPr>
                <w:b/>
              </w:rPr>
              <w:t>Transport</w:t>
            </w:r>
            <w:r>
              <w:t xml:space="preserve"> - road</w:t>
            </w:r>
          </w:p>
        </w:tc>
      </w:tr>
      <w:tr w:rsidR="001838B8" w14:paraId="202FC23B" w14:textId="77777777">
        <w:trPr>
          <w:trHeight w:val="290"/>
        </w:trPr>
        <w:tc>
          <w:tcPr>
            <w:tcW w:w="5098" w:type="dxa"/>
            <w:shd w:val="clear" w:color="auto" w:fill="F2F2F2"/>
          </w:tcPr>
          <w:p w14:paraId="202FC23A" w14:textId="77777777" w:rsidR="001838B8" w:rsidRDefault="00A731EB">
            <w:pPr>
              <w:jc w:val="both"/>
            </w:pPr>
            <w:r>
              <w:t xml:space="preserve">    </w:t>
            </w:r>
            <w:r>
              <w:rPr>
                <w:b/>
              </w:rPr>
              <w:t>Transport</w:t>
            </w:r>
            <w:r>
              <w:t xml:space="preserve"> - rail</w:t>
            </w:r>
          </w:p>
        </w:tc>
      </w:tr>
      <w:tr w:rsidR="001838B8" w14:paraId="202FC23D" w14:textId="77777777">
        <w:trPr>
          <w:trHeight w:val="290"/>
        </w:trPr>
        <w:tc>
          <w:tcPr>
            <w:tcW w:w="5098" w:type="dxa"/>
            <w:shd w:val="clear" w:color="auto" w:fill="F2F2F2"/>
          </w:tcPr>
          <w:p w14:paraId="202FC23C" w14:textId="77777777" w:rsidR="001838B8" w:rsidRDefault="00A731EB">
            <w:pPr>
              <w:jc w:val="both"/>
            </w:pPr>
            <w:r>
              <w:t xml:space="preserve">    </w:t>
            </w:r>
            <w:r>
              <w:rPr>
                <w:b/>
              </w:rPr>
              <w:t>Transport</w:t>
            </w:r>
            <w:r>
              <w:t xml:space="preserve"> - domestic air</w:t>
            </w:r>
          </w:p>
        </w:tc>
      </w:tr>
      <w:tr w:rsidR="001838B8" w14:paraId="202FC23F" w14:textId="77777777">
        <w:trPr>
          <w:trHeight w:val="290"/>
        </w:trPr>
        <w:tc>
          <w:tcPr>
            <w:tcW w:w="5098" w:type="dxa"/>
            <w:shd w:val="clear" w:color="auto" w:fill="F2F2F2"/>
          </w:tcPr>
          <w:p w14:paraId="202FC23E" w14:textId="77777777" w:rsidR="001838B8" w:rsidRDefault="00A731EB">
            <w:pPr>
              <w:jc w:val="both"/>
            </w:pPr>
            <w:r>
              <w:t xml:space="preserve">    </w:t>
            </w:r>
            <w:r>
              <w:rPr>
                <w:b/>
              </w:rPr>
              <w:t>Transport</w:t>
            </w:r>
            <w:r>
              <w:t xml:space="preserve"> - navigation</w:t>
            </w:r>
          </w:p>
        </w:tc>
      </w:tr>
      <w:tr w:rsidR="001838B8" w14:paraId="202FC241" w14:textId="77777777">
        <w:trPr>
          <w:trHeight w:val="290"/>
        </w:trPr>
        <w:tc>
          <w:tcPr>
            <w:tcW w:w="5098" w:type="dxa"/>
            <w:shd w:val="clear" w:color="auto" w:fill="D9D9D9"/>
          </w:tcPr>
          <w:p w14:paraId="202FC240" w14:textId="77777777" w:rsidR="001838B8" w:rsidRDefault="00A731EB">
            <w:pPr>
              <w:jc w:val="both"/>
              <w:rPr>
                <w:b/>
              </w:rPr>
            </w:pPr>
            <w:r>
              <w:t xml:space="preserve">    </w:t>
            </w:r>
            <w:r>
              <w:rPr>
                <w:b/>
              </w:rPr>
              <w:t>Households</w:t>
            </w:r>
          </w:p>
        </w:tc>
      </w:tr>
      <w:tr w:rsidR="001838B8" w14:paraId="202FC243" w14:textId="77777777">
        <w:trPr>
          <w:trHeight w:val="290"/>
        </w:trPr>
        <w:tc>
          <w:tcPr>
            <w:tcW w:w="5098" w:type="dxa"/>
            <w:shd w:val="clear" w:color="auto" w:fill="F2F2F2"/>
          </w:tcPr>
          <w:p w14:paraId="202FC242" w14:textId="77777777" w:rsidR="001838B8" w:rsidRDefault="00A731EB">
            <w:pPr>
              <w:jc w:val="both"/>
              <w:rPr>
                <w:b/>
              </w:rPr>
            </w:pPr>
            <w:r>
              <w:t xml:space="preserve">    </w:t>
            </w:r>
            <w:r>
              <w:rPr>
                <w:b/>
                <w:shd w:val="clear" w:color="auto" w:fill="F2F2F2"/>
              </w:rPr>
              <w:t>Services</w:t>
            </w:r>
          </w:p>
        </w:tc>
      </w:tr>
      <w:tr w:rsidR="001838B8" w14:paraId="202FC245" w14:textId="77777777">
        <w:trPr>
          <w:trHeight w:val="290"/>
        </w:trPr>
        <w:tc>
          <w:tcPr>
            <w:tcW w:w="5098" w:type="dxa"/>
            <w:tcBorders>
              <w:bottom w:val="single" w:sz="4" w:space="0" w:color="000000"/>
            </w:tcBorders>
            <w:shd w:val="clear" w:color="auto" w:fill="D9D9D9"/>
          </w:tcPr>
          <w:p w14:paraId="202FC244" w14:textId="77777777" w:rsidR="001838B8" w:rsidRDefault="00A731EB">
            <w:pPr>
              <w:jc w:val="both"/>
              <w:rPr>
                <w:b/>
              </w:rPr>
            </w:pPr>
            <w:r>
              <w:rPr>
                <w:b/>
              </w:rPr>
              <w:t xml:space="preserve">    Agriculture &amp; Fishery</w:t>
            </w:r>
          </w:p>
        </w:tc>
      </w:tr>
      <w:tr w:rsidR="001838B8" w14:paraId="202FC247" w14:textId="77777777">
        <w:trPr>
          <w:trHeight w:val="290"/>
        </w:trPr>
        <w:tc>
          <w:tcPr>
            <w:tcW w:w="5098" w:type="dxa"/>
            <w:tcBorders>
              <w:bottom w:val="single" w:sz="4" w:space="0" w:color="000000"/>
            </w:tcBorders>
            <w:shd w:val="clear" w:color="auto" w:fill="F2F2F2"/>
          </w:tcPr>
          <w:p w14:paraId="202FC246" w14:textId="77777777" w:rsidR="001838B8" w:rsidRDefault="00A731EB">
            <w:pPr>
              <w:jc w:val="both"/>
              <w:rPr>
                <w:b/>
              </w:rPr>
            </w:pPr>
            <w:r>
              <w:rPr>
                <w:b/>
              </w:rPr>
              <w:t xml:space="preserve">    Non energy uses</w:t>
            </w:r>
          </w:p>
        </w:tc>
      </w:tr>
      <w:tr w:rsidR="001838B8" w14:paraId="202FC249" w14:textId="77777777">
        <w:trPr>
          <w:trHeight w:val="290"/>
        </w:trPr>
        <w:tc>
          <w:tcPr>
            <w:tcW w:w="5098" w:type="dxa"/>
            <w:tcBorders>
              <w:top w:val="single" w:sz="4" w:space="0" w:color="000000"/>
              <w:left w:val="nil"/>
              <w:bottom w:val="nil"/>
              <w:right w:val="nil"/>
            </w:tcBorders>
          </w:tcPr>
          <w:p w14:paraId="202FC248" w14:textId="77777777" w:rsidR="001838B8" w:rsidRDefault="001838B8">
            <w:pPr>
              <w:jc w:val="both"/>
            </w:pPr>
          </w:p>
        </w:tc>
      </w:tr>
      <w:tr w:rsidR="001838B8" w14:paraId="202FC24B" w14:textId="77777777">
        <w:trPr>
          <w:trHeight w:val="290"/>
        </w:trPr>
        <w:tc>
          <w:tcPr>
            <w:tcW w:w="5098" w:type="dxa"/>
            <w:tcBorders>
              <w:top w:val="nil"/>
              <w:left w:val="nil"/>
              <w:bottom w:val="nil"/>
              <w:right w:val="nil"/>
            </w:tcBorders>
          </w:tcPr>
          <w:p w14:paraId="202FC24A" w14:textId="77777777" w:rsidR="001838B8" w:rsidRDefault="00A731EB">
            <w:pPr>
              <w:jc w:val="both"/>
            </w:pPr>
            <w:r>
              <w:t>For CH</w:t>
            </w:r>
            <w:r>
              <w:rPr>
                <w:vertAlign w:val="subscript"/>
              </w:rPr>
              <w:t>4</w:t>
            </w:r>
            <w:r>
              <w:t xml:space="preserve"> and N</w:t>
            </w:r>
            <w:r>
              <w:rPr>
                <w:vertAlign w:val="subscript"/>
              </w:rPr>
              <w:t>2</w:t>
            </w:r>
            <w:r>
              <w:t>O emissions:</w:t>
            </w:r>
          </w:p>
        </w:tc>
      </w:tr>
      <w:tr w:rsidR="001838B8" w14:paraId="202FC24D" w14:textId="77777777">
        <w:trPr>
          <w:trHeight w:val="290"/>
        </w:trPr>
        <w:tc>
          <w:tcPr>
            <w:tcW w:w="5098" w:type="dxa"/>
            <w:tcBorders>
              <w:top w:val="nil"/>
              <w:left w:val="nil"/>
              <w:bottom w:val="single" w:sz="4" w:space="0" w:color="000000"/>
              <w:right w:val="nil"/>
            </w:tcBorders>
          </w:tcPr>
          <w:p w14:paraId="202FC24C" w14:textId="77777777" w:rsidR="001838B8" w:rsidRDefault="001838B8">
            <w:pPr>
              <w:jc w:val="both"/>
            </w:pPr>
          </w:p>
        </w:tc>
      </w:tr>
      <w:tr w:rsidR="001838B8" w14:paraId="202FC24F" w14:textId="77777777">
        <w:trPr>
          <w:trHeight w:val="290"/>
        </w:trPr>
        <w:tc>
          <w:tcPr>
            <w:tcW w:w="5098" w:type="dxa"/>
            <w:tcBorders>
              <w:top w:val="single" w:sz="4" w:space="0" w:color="000000"/>
            </w:tcBorders>
            <w:shd w:val="clear" w:color="auto" w:fill="A6A6A6"/>
          </w:tcPr>
          <w:p w14:paraId="202FC24E" w14:textId="77777777" w:rsidR="001838B8" w:rsidRDefault="00A731EB">
            <w:pPr>
              <w:jc w:val="both"/>
              <w:rPr>
                <w:b/>
                <w:color w:val="FFFFFF"/>
              </w:rPr>
            </w:pPr>
            <w:r>
              <w:rPr>
                <w:b/>
                <w:color w:val="FFFFFF"/>
              </w:rPr>
              <w:t>CH</w:t>
            </w:r>
            <w:r>
              <w:rPr>
                <w:b/>
                <w:color w:val="FFFFFF"/>
                <w:vertAlign w:val="subscript"/>
              </w:rPr>
              <w:t>4</w:t>
            </w:r>
            <w:r>
              <w:rPr>
                <w:b/>
                <w:color w:val="FFFFFF"/>
              </w:rPr>
              <w:t xml:space="preserve"> from energy combustion</w:t>
            </w:r>
          </w:p>
        </w:tc>
      </w:tr>
      <w:tr w:rsidR="001838B8" w14:paraId="202FC251" w14:textId="77777777">
        <w:trPr>
          <w:trHeight w:val="290"/>
        </w:trPr>
        <w:tc>
          <w:tcPr>
            <w:tcW w:w="5098" w:type="dxa"/>
            <w:shd w:val="clear" w:color="auto" w:fill="A6A6A6"/>
          </w:tcPr>
          <w:p w14:paraId="202FC250" w14:textId="77777777" w:rsidR="001838B8" w:rsidRDefault="00A731EB">
            <w:pPr>
              <w:jc w:val="both"/>
              <w:rPr>
                <w:b/>
                <w:color w:val="FFFFFF"/>
              </w:rPr>
            </w:pPr>
            <w:r>
              <w:rPr>
                <w:b/>
                <w:color w:val="FFFFFF"/>
              </w:rPr>
              <w:t>N</w:t>
            </w:r>
            <w:r>
              <w:rPr>
                <w:b/>
                <w:color w:val="FFFFFF"/>
                <w:vertAlign w:val="subscript"/>
              </w:rPr>
              <w:t>2</w:t>
            </w:r>
            <w:r>
              <w:rPr>
                <w:b/>
                <w:color w:val="FFFFFF"/>
              </w:rPr>
              <w:t>O from energy combustion</w:t>
            </w:r>
          </w:p>
        </w:tc>
      </w:tr>
      <w:tr w:rsidR="001838B8" w14:paraId="202FC253" w14:textId="77777777">
        <w:trPr>
          <w:trHeight w:val="290"/>
        </w:trPr>
        <w:tc>
          <w:tcPr>
            <w:tcW w:w="5098" w:type="dxa"/>
            <w:shd w:val="clear" w:color="auto" w:fill="A6A6A6"/>
          </w:tcPr>
          <w:p w14:paraId="202FC252" w14:textId="77777777" w:rsidR="001838B8" w:rsidRDefault="00A731EB">
            <w:pPr>
              <w:jc w:val="both"/>
              <w:rPr>
                <w:b/>
                <w:color w:val="FFFFFF"/>
              </w:rPr>
            </w:pPr>
            <w:r>
              <w:rPr>
                <w:b/>
                <w:color w:val="FFFFFF"/>
              </w:rPr>
              <w:t>Agriculture</w:t>
            </w:r>
          </w:p>
        </w:tc>
      </w:tr>
      <w:tr w:rsidR="001838B8" w14:paraId="202FC255" w14:textId="77777777">
        <w:trPr>
          <w:trHeight w:val="290"/>
        </w:trPr>
        <w:tc>
          <w:tcPr>
            <w:tcW w:w="5098" w:type="dxa"/>
            <w:shd w:val="clear" w:color="auto" w:fill="D9D9D9"/>
          </w:tcPr>
          <w:p w14:paraId="202FC254" w14:textId="77777777" w:rsidR="001838B8" w:rsidRDefault="00A731EB">
            <w:pPr>
              <w:jc w:val="both"/>
            </w:pPr>
            <w:r>
              <w:rPr>
                <w:b/>
              </w:rPr>
              <w:t xml:space="preserve">  Agriculture</w:t>
            </w:r>
            <w:r>
              <w:t xml:space="preserve"> - Enteric fermentation</w:t>
            </w:r>
          </w:p>
        </w:tc>
      </w:tr>
      <w:tr w:rsidR="001838B8" w14:paraId="202FC257" w14:textId="77777777">
        <w:trPr>
          <w:trHeight w:val="290"/>
        </w:trPr>
        <w:tc>
          <w:tcPr>
            <w:tcW w:w="5098" w:type="dxa"/>
            <w:shd w:val="clear" w:color="auto" w:fill="D9D9D9"/>
          </w:tcPr>
          <w:p w14:paraId="202FC256" w14:textId="77777777" w:rsidR="001838B8" w:rsidRDefault="00A731EB">
            <w:pPr>
              <w:jc w:val="both"/>
            </w:pPr>
            <w:r>
              <w:rPr>
                <w:b/>
              </w:rPr>
              <w:t xml:space="preserve">  Agriculture</w:t>
            </w:r>
            <w:r>
              <w:t xml:space="preserve"> - Manure management</w:t>
            </w:r>
          </w:p>
        </w:tc>
      </w:tr>
      <w:tr w:rsidR="001838B8" w14:paraId="202FC259" w14:textId="77777777">
        <w:trPr>
          <w:trHeight w:val="290"/>
        </w:trPr>
        <w:tc>
          <w:tcPr>
            <w:tcW w:w="5098" w:type="dxa"/>
            <w:shd w:val="clear" w:color="auto" w:fill="D9D9D9"/>
          </w:tcPr>
          <w:p w14:paraId="202FC258" w14:textId="77777777" w:rsidR="001838B8" w:rsidRDefault="00A731EB">
            <w:pPr>
              <w:jc w:val="both"/>
            </w:pPr>
            <w:r>
              <w:rPr>
                <w:b/>
              </w:rPr>
              <w:lastRenderedPageBreak/>
              <w:t xml:space="preserve">  Agriculture</w:t>
            </w:r>
            <w:r>
              <w:t xml:space="preserve"> - Rice cultivation</w:t>
            </w:r>
          </w:p>
        </w:tc>
      </w:tr>
      <w:tr w:rsidR="001838B8" w:rsidRPr="0093669C" w14:paraId="202FC25B" w14:textId="77777777">
        <w:trPr>
          <w:trHeight w:val="290"/>
        </w:trPr>
        <w:tc>
          <w:tcPr>
            <w:tcW w:w="5098" w:type="dxa"/>
            <w:shd w:val="clear" w:color="auto" w:fill="D9D9D9"/>
          </w:tcPr>
          <w:p w14:paraId="202FC25A" w14:textId="77777777" w:rsidR="001838B8" w:rsidRPr="0072545F" w:rsidRDefault="00A731EB">
            <w:pPr>
              <w:jc w:val="both"/>
              <w:rPr>
                <w:lang w:val="pt-BR"/>
              </w:rPr>
            </w:pPr>
            <w:r w:rsidRPr="0072545F">
              <w:rPr>
                <w:b/>
                <w:lang w:val="pt-BR"/>
              </w:rPr>
              <w:t xml:space="preserve">  Agriculture</w:t>
            </w:r>
            <w:r w:rsidRPr="0072545F">
              <w:rPr>
                <w:lang w:val="pt-BR"/>
              </w:rPr>
              <w:t xml:space="preserve"> - N</w:t>
            </w:r>
            <w:r w:rsidRPr="0072545F">
              <w:rPr>
                <w:vertAlign w:val="subscript"/>
                <w:lang w:val="pt-BR"/>
              </w:rPr>
              <w:t>2</w:t>
            </w:r>
            <w:r w:rsidRPr="0072545F">
              <w:rPr>
                <w:lang w:val="pt-BR"/>
              </w:rPr>
              <w:t>O from agricultural soils</w:t>
            </w:r>
          </w:p>
        </w:tc>
      </w:tr>
      <w:tr w:rsidR="001838B8" w14:paraId="202FC25D" w14:textId="77777777">
        <w:trPr>
          <w:trHeight w:val="290"/>
        </w:trPr>
        <w:tc>
          <w:tcPr>
            <w:tcW w:w="5098" w:type="dxa"/>
            <w:shd w:val="clear" w:color="auto" w:fill="D9D9D9"/>
          </w:tcPr>
          <w:p w14:paraId="202FC25C" w14:textId="77777777" w:rsidR="001838B8" w:rsidRDefault="00A731EB">
            <w:pPr>
              <w:jc w:val="both"/>
            </w:pPr>
            <w:r w:rsidRPr="0072545F">
              <w:rPr>
                <w:b/>
                <w:lang w:val="pt-BR"/>
              </w:rPr>
              <w:t xml:space="preserve">  </w:t>
            </w:r>
            <w:r>
              <w:rPr>
                <w:b/>
              </w:rPr>
              <w:t>Agriculture</w:t>
            </w:r>
            <w:r>
              <w:t xml:space="preserve"> - Burning of agricultural residues</w:t>
            </w:r>
          </w:p>
        </w:tc>
      </w:tr>
      <w:tr w:rsidR="001838B8" w14:paraId="202FC25F" w14:textId="77777777">
        <w:trPr>
          <w:trHeight w:val="290"/>
        </w:trPr>
        <w:tc>
          <w:tcPr>
            <w:tcW w:w="5098" w:type="dxa"/>
            <w:shd w:val="clear" w:color="auto" w:fill="A6A6A6"/>
          </w:tcPr>
          <w:p w14:paraId="202FC25E" w14:textId="77777777" w:rsidR="001838B8" w:rsidRDefault="00A731EB">
            <w:pPr>
              <w:jc w:val="both"/>
              <w:rPr>
                <w:color w:val="FFFFFF"/>
              </w:rPr>
            </w:pPr>
            <w:r>
              <w:rPr>
                <w:b/>
                <w:color w:val="FFFFFF"/>
              </w:rPr>
              <w:t>Fugitive</w:t>
            </w:r>
            <w:r>
              <w:rPr>
                <w:color w:val="FFFFFF"/>
              </w:rPr>
              <w:t xml:space="preserve"> (CH</w:t>
            </w:r>
            <w:r>
              <w:rPr>
                <w:color w:val="FFFFFF"/>
                <w:vertAlign w:val="subscript"/>
              </w:rPr>
              <w:t>4</w:t>
            </w:r>
            <w:r>
              <w:rPr>
                <w:color w:val="FFFFFF"/>
              </w:rPr>
              <w:t>)</w:t>
            </w:r>
          </w:p>
        </w:tc>
      </w:tr>
      <w:tr w:rsidR="001838B8" w14:paraId="202FC261" w14:textId="77777777">
        <w:trPr>
          <w:trHeight w:val="290"/>
        </w:trPr>
        <w:tc>
          <w:tcPr>
            <w:tcW w:w="5098" w:type="dxa"/>
            <w:shd w:val="clear" w:color="auto" w:fill="A6A6A6"/>
          </w:tcPr>
          <w:p w14:paraId="202FC260" w14:textId="77777777" w:rsidR="001838B8" w:rsidRDefault="00A731EB">
            <w:pPr>
              <w:jc w:val="both"/>
              <w:rPr>
                <w:b/>
                <w:color w:val="FFFFFF"/>
              </w:rPr>
            </w:pPr>
            <w:r>
              <w:rPr>
                <w:b/>
                <w:color w:val="FFFFFF"/>
              </w:rPr>
              <w:t>Forestry</w:t>
            </w:r>
          </w:p>
        </w:tc>
      </w:tr>
      <w:tr w:rsidR="001838B8" w14:paraId="202FC263" w14:textId="77777777">
        <w:trPr>
          <w:trHeight w:val="290"/>
        </w:trPr>
        <w:tc>
          <w:tcPr>
            <w:tcW w:w="5098" w:type="dxa"/>
            <w:shd w:val="clear" w:color="auto" w:fill="A6A6A6"/>
          </w:tcPr>
          <w:p w14:paraId="202FC262" w14:textId="77777777" w:rsidR="001838B8" w:rsidRDefault="00A731EB">
            <w:pPr>
              <w:jc w:val="both"/>
              <w:rPr>
                <w:b/>
                <w:color w:val="FFFFFF"/>
              </w:rPr>
            </w:pPr>
            <w:r>
              <w:rPr>
                <w:b/>
                <w:color w:val="FFFFFF"/>
              </w:rPr>
              <w:t>Waste</w:t>
            </w:r>
          </w:p>
        </w:tc>
      </w:tr>
      <w:tr w:rsidR="001838B8" w14:paraId="202FC265" w14:textId="77777777">
        <w:trPr>
          <w:trHeight w:val="290"/>
        </w:trPr>
        <w:tc>
          <w:tcPr>
            <w:tcW w:w="5098" w:type="dxa"/>
            <w:shd w:val="clear" w:color="auto" w:fill="D9D9D9"/>
          </w:tcPr>
          <w:p w14:paraId="202FC264" w14:textId="77777777" w:rsidR="001838B8" w:rsidRDefault="00A731EB">
            <w:pPr>
              <w:jc w:val="both"/>
            </w:pPr>
            <w:r>
              <w:rPr>
                <w:b/>
              </w:rPr>
              <w:t xml:space="preserve">  Waste</w:t>
            </w:r>
            <w:r>
              <w:t xml:space="preserve"> - solid</w:t>
            </w:r>
          </w:p>
        </w:tc>
      </w:tr>
      <w:tr w:rsidR="001838B8" w14:paraId="202FC267" w14:textId="77777777">
        <w:trPr>
          <w:trHeight w:val="290"/>
        </w:trPr>
        <w:tc>
          <w:tcPr>
            <w:tcW w:w="5098" w:type="dxa"/>
            <w:shd w:val="clear" w:color="auto" w:fill="D9D9D9"/>
          </w:tcPr>
          <w:p w14:paraId="202FC266" w14:textId="77777777" w:rsidR="001838B8" w:rsidRDefault="00A731EB">
            <w:pPr>
              <w:jc w:val="both"/>
            </w:pPr>
            <w:r>
              <w:rPr>
                <w:b/>
              </w:rPr>
              <w:t xml:space="preserve">  Waste</w:t>
            </w:r>
            <w:r>
              <w:t xml:space="preserve"> - liquid</w:t>
            </w:r>
          </w:p>
        </w:tc>
      </w:tr>
    </w:tbl>
    <w:p w14:paraId="202FC268" w14:textId="77777777" w:rsidR="001838B8" w:rsidRDefault="001838B8">
      <w:pPr>
        <w:jc w:val="both"/>
      </w:pPr>
    </w:p>
    <w:p w14:paraId="202FC269" w14:textId="77777777" w:rsidR="001838B8" w:rsidRDefault="001838B8">
      <w:pPr>
        <w:spacing w:after="160" w:line="259" w:lineRule="auto"/>
        <w:rPr>
          <w:color w:val="2E75B5"/>
          <w:sz w:val="32"/>
          <w:szCs w:val="32"/>
        </w:rPr>
      </w:pPr>
    </w:p>
    <w:p w14:paraId="202FC26A" w14:textId="77777777" w:rsidR="001838B8" w:rsidRDefault="001838B8">
      <w:pPr>
        <w:spacing w:after="160" w:line="259" w:lineRule="auto"/>
        <w:rPr>
          <w:color w:val="2E75B5"/>
          <w:sz w:val="32"/>
          <w:szCs w:val="32"/>
        </w:rPr>
      </w:pPr>
    </w:p>
    <w:p w14:paraId="202FC26B" w14:textId="77777777" w:rsidR="001838B8" w:rsidRDefault="00A731EB">
      <w:pPr>
        <w:spacing w:after="160" w:line="259" w:lineRule="auto"/>
        <w:rPr>
          <w:color w:val="2E75B5"/>
          <w:sz w:val="32"/>
          <w:szCs w:val="32"/>
        </w:rPr>
      </w:pPr>
      <w:r>
        <w:br w:type="page"/>
      </w:r>
    </w:p>
    <w:p w14:paraId="202FC26C" w14:textId="11C1AA85" w:rsidR="001838B8" w:rsidRPr="00F10795" w:rsidRDefault="00A731EB" w:rsidP="00F10795">
      <w:pPr>
        <w:pStyle w:val="Heading1"/>
        <w:spacing w:before="120" w:after="120"/>
        <w:jc w:val="center"/>
        <w:rPr>
          <w:rFonts w:ascii="Calibri" w:eastAsia="Calibri" w:hAnsi="Calibri" w:cs="Calibri"/>
          <w:sz w:val="36"/>
          <w:szCs w:val="36"/>
        </w:rPr>
      </w:pPr>
      <w:bookmarkStart w:id="20" w:name="_Toc151557937"/>
      <w:r w:rsidRPr="00F10795">
        <w:rPr>
          <w:rFonts w:ascii="Calibri" w:eastAsia="Calibri" w:hAnsi="Calibri" w:cs="Calibri"/>
          <w:sz w:val="36"/>
          <w:szCs w:val="36"/>
        </w:rPr>
        <w:lastRenderedPageBreak/>
        <w:t xml:space="preserve">APPENDIX 2 - List of the mitigation options included in </w:t>
      </w:r>
      <w:r w:rsidR="00AA58DD" w:rsidRPr="00F10795">
        <w:rPr>
          <w:rFonts w:ascii="Calibri" w:eastAsia="Calibri" w:hAnsi="Calibri" w:cs="Calibri"/>
          <w:sz w:val="36"/>
          <w:szCs w:val="36"/>
        </w:rPr>
        <w:t xml:space="preserve">the </w:t>
      </w:r>
      <w:r w:rsidRPr="00F10795">
        <w:rPr>
          <w:rFonts w:ascii="Calibri" w:eastAsia="Calibri" w:hAnsi="Calibri" w:cs="Calibri"/>
          <w:sz w:val="36"/>
          <w:szCs w:val="36"/>
        </w:rPr>
        <w:t>GACMO</w:t>
      </w:r>
      <w:r w:rsidR="00AA58DD" w:rsidRPr="00F10795">
        <w:rPr>
          <w:rFonts w:ascii="Calibri" w:eastAsia="Calibri" w:hAnsi="Calibri" w:cs="Calibri"/>
          <w:sz w:val="36"/>
          <w:szCs w:val="36"/>
        </w:rPr>
        <w:t xml:space="preserve"> tool</w:t>
      </w:r>
      <w:bookmarkEnd w:id="20"/>
    </w:p>
    <w:p w14:paraId="202FC26D" w14:textId="73A49DA2" w:rsidR="001838B8" w:rsidRDefault="00AA58DD">
      <w:pPr>
        <w:jc w:val="both"/>
      </w:pPr>
      <w:r>
        <w:t xml:space="preserve">The </w:t>
      </w:r>
      <w:r w:rsidR="00A731EB">
        <w:t xml:space="preserve">GACMO </w:t>
      </w:r>
      <w:r>
        <w:t xml:space="preserve">tool </w:t>
      </w:r>
      <w:r w:rsidR="00F40E2A">
        <w:t>currently includes</w:t>
      </w:r>
      <w:r w:rsidR="00A731EB">
        <w:t xml:space="preserve"> 119 mitigation options. If a user notices that a specific mitigation option relevant to the country is not included in the GACMO tool, the user can contact UNEP Copenhagen Climate Center and we will try to include the missing option.</w:t>
      </w:r>
    </w:p>
    <w:tbl>
      <w:tblPr>
        <w:tblStyle w:val="2"/>
        <w:tblW w:w="9000" w:type="dxa"/>
        <w:tblLayout w:type="fixed"/>
        <w:tblLook w:val="0400" w:firstRow="0" w:lastRow="0" w:firstColumn="0" w:lastColumn="0" w:noHBand="0" w:noVBand="1"/>
      </w:tblPr>
      <w:tblGrid>
        <w:gridCol w:w="3000"/>
        <w:gridCol w:w="6000"/>
      </w:tblGrid>
      <w:tr w:rsidR="001838B8" w14:paraId="202FC270" w14:textId="77777777">
        <w:trPr>
          <w:trHeight w:val="285"/>
        </w:trPr>
        <w:tc>
          <w:tcPr>
            <w:tcW w:w="3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26E" w14:textId="77777777" w:rsidR="001838B8" w:rsidRDefault="00A731EB" w:rsidP="00B736C9">
            <w:pPr>
              <w:spacing w:after="0"/>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Type</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26F" w14:textId="77777777" w:rsidR="001838B8" w:rsidRDefault="00A731EB" w:rsidP="00B736C9">
            <w:pPr>
              <w:spacing w:after="0"/>
              <w:jc w:val="center"/>
              <w:rPr>
                <w:rFonts w:ascii="Helvetica Neue" w:eastAsia="Helvetica Neue" w:hAnsi="Helvetica Neue" w:cs="Helvetica Neue"/>
                <w:b/>
                <w:sz w:val="20"/>
                <w:szCs w:val="20"/>
              </w:rPr>
            </w:pPr>
            <w:bookmarkStart w:id="21" w:name="bookmark=id.3rdcrjn" w:colFirst="0" w:colLast="0"/>
            <w:bookmarkEnd w:id="21"/>
            <w:r>
              <w:rPr>
                <w:rFonts w:ascii="Helvetica Neue" w:eastAsia="Helvetica Neue" w:hAnsi="Helvetica Neue" w:cs="Helvetica Neue"/>
                <w:b/>
                <w:sz w:val="20"/>
                <w:szCs w:val="20"/>
              </w:rPr>
              <w:t>Reduction option</w:t>
            </w:r>
          </w:p>
        </w:tc>
      </w:tr>
      <w:tr w:rsidR="001838B8" w14:paraId="202FC273" w14:textId="77777777">
        <w:trPr>
          <w:trHeight w:val="285"/>
        </w:trPr>
        <w:tc>
          <w:tcPr>
            <w:tcW w:w="3000" w:type="dxa"/>
            <w:tcBorders>
              <w:top w:val="single" w:sz="4" w:space="0" w:color="000000"/>
              <w:left w:val="single" w:sz="4" w:space="0" w:color="305496"/>
              <w:bottom w:val="nil"/>
              <w:right w:val="single" w:sz="4" w:space="0" w:color="000000"/>
            </w:tcBorders>
            <w:shd w:val="clear" w:color="auto" w:fill="C9C9C9"/>
            <w:vAlign w:val="bottom"/>
          </w:tcPr>
          <w:p w14:paraId="202FC271" w14:textId="77777777" w:rsidR="001838B8" w:rsidRDefault="00A731EB" w:rsidP="00B736C9">
            <w:pPr>
              <w:spacing w:after="0"/>
              <w:rPr>
                <w:b/>
                <w:sz w:val="20"/>
                <w:szCs w:val="20"/>
              </w:rPr>
            </w:pPr>
            <w:r>
              <w:rPr>
                <w:b/>
                <w:sz w:val="20"/>
                <w:szCs w:val="20"/>
              </w:rPr>
              <w:t>Agriculture</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72" w14:textId="77777777" w:rsidR="001838B8" w:rsidRDefault="00A731EB" w:rsidP="00B736C9">
            <w:pPr>
              <w:spacing w:after="0"/>
              <w:rPr>
                <w:color w:val="002060"/>
              </w:rPr>
            </w:pPr>
            <w:r>
              <w:rPr>
                <w:color w:val="002060"/>
              </w:rPr>
              <w:t>Rice crop CH</w:t>
            </w:r>
            <w:r w:rsidRPr="00686327">
              <w:rPr>
                <w:color w:val="002060"/>
                <w:vertAlign w:val="subscript"/>
              </w:rPr>
              <w:t>4</w:t>
            </w:r>
            <w:r>
              <w:rPr>
                <w:color w:val="002060"/>
              </w:rPr>
              <w:t xml:space="preserve"> reduction</w:t>
            </w:r>
          </w:p>
        </w:tc>
      </w:tr>
      <w:tr w:rsidR="001838B8" w14:paraId="202FC276"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74"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75" w14:textId="399CE650" w:rsidR="001838B8" w:rsidRDefault="00A731EB" w:rsidP="00B736C9">
            <w:pPr>
              <w:spacing w:after="0"/>
              <w:rPr>
                <w:color w:val="002060"/>
              </w:rPr>
            </w:pPr>
            <w:r>
              <w:rPr>
                <w:color w:val="002060"/>
              </w:rPr>
              <w:t>Zero tillage</w:t>
            </w:r>
          </w:p>
        </w:tc>
      </w:tr>
      <w:tr w:rsidR="001838B8" w14:paraId="202FC279"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77"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78" w14:textId="4B8E01E8" w:rsidR="001838B8" w:rsidRDefault="00A731EB" w:rsidP="00B736C9">
            <w:pPr>
              <w:spacing w:after="0"/>
              <w:rPr>
                <w:color w:val="002060"/>
              </w:rPr>
            </w:pPr>
            <w:r>
              <w:rPr>
                <w:color w:val="002060"/>
              </w:rPr>
              <w:t>Cover crops</w:t>
            </w:r>
          </w:p>
        </w:tc>
      </w:tr>
      <w:tr w:rsidR="001838B8" w14:paraId="202FC27C"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7A"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7B" w14:textId="77666AE7" w:rsidR="001838B8" w:rsidRDefault="00A731EB" w:rsidP="00B736C9">
            <w:pPr>
              <w:spacing w:after="0"/>
              <w:rPr>
                <w:color w:val="002060"/>
              </w:rPr>
            </w:pPr>
            <w:r>
              <w:rPr>
                <w:color w:val="002060"/>
              </w:rPr>
              <w:t>Nitrification inhibitors (1000 ha)</w:t>
            </w:r>
          </w:p>
        </w:tc>
      </w:tr>
      <w:tr w:rsidR="001838B8" w14:paraId="202FC27F"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7D"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7E" w14:textId="7BD3D5BB" w:rsidR="001838B8" w:rsidRDefault="00A731EB" w:rsidP="00B736C9">
            <w:pPr>
              <w:spacing w:after="0"/>
              <w:rPr>
                <w:color w:val="002060"/>
              </w:rPr>
            </w:pPr>
            <w:r>
              <w:rPr>
                <w:color w:val="002060"/>
              </w:rPr>
              <w:t>Covering slurry stores (1 slurry store)</w:t>
            </w:r>
          </w:p>
        </w:tc>
      </w:tr>
      <w:tr w:rsidR="001838B8" w14:paraId="202FC282"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80"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81" w14:textId="1759A815" w:rsidR="001838B8" w:rsidRDefault="00A731EB" w:rsidP="00B736C9">
            <w:pPr>
              <w:spacing w:after="0"/>
              <w:rPr>
                <w:color w:val="002060"/>
              </w:rPr>
            </w:pPr>
            <w:r>
              <w:rPr>
                <w:color w:val="002060"/>
              </w:rPr>
              <w:t>Fat supplementation in ruminants</w:t>
            </w:r>
            <w:r w:rsidR="006568D7">
              <w:rPr>
                <w:color w:val="002060"/>
              </w:rPr>
              <w:t>’</w:t>
            </w:r>
            <w:r>
              <w:rPr>
                <w:color w:val="002060"/>
              </w:rPr>
              <w:t xml:space="preserve"> diets (%DM fat added) </w:t>
            </w:r>
          </w:p>
        </w:tc>
      </w:tr>
      <w:tr w:rsidR="001838B8" w14:paraId="202FC285" w14:textId="77777777">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283"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84" w14:textId="2CE50766" w:rsidR="001838B8" w:rsidRDefault="00A731EB" w:rsidP="00B736C9">
            <w:pPr>
              <w:spacing w:after="0"/>
              <w:rPr>
                <w:color w:val="002060"/>
              </w:rPr>
            </w:pPr>
            <w:r>
              <w:rPr>
                <w:color w:val="002060"/>
              </w:rPr>
              <w:t>Tobacco curing</w:t>
            </w:r>
          </w:p>
        </w:tc>
      </w:tr>
      <w:tr w:rsidR="001838B8" w14:paraId="202FC288" w14:textId="77777777">
        <w:trPr>
          <w:trHeight w:val="285"/>
        </w:trPr>
        <w:tc>
          <w:tcPr>
            <w:tcW w:w="3000" w:type="dxa"/>
            <w:tcBorders>
              <w:top w:val="nil"/>
              <w:left w:val="single" w:sz="4" w:space="0" w:color="305496"/>
              <w:bottom w:val="nil"/>
              <w:right w:val="single" w:sz="4" w:space="0" w:color="000000"/>
            </w:tcBorders>
            <w:shd w:val="clear" w:color="auto" w:fill="auto"/>
          </w:tcPr>
          <w:p w14:paraId="202FC286" w14:textId="77777777" w:rsidR="001838B8" w:rsidRDefault="00A731EB" w:rsidP="00B736C9">
            <w:pPr>
              <w:spacing w:after="0"/>
              <w:rPr>
                <w:b/>
                <w:sz w:val="20"/>
                <w:szCs w:val="20"/>
              </w:rPr>
            </w:pPr>
            <w:r>
              <w:rPr>
                <w:b/>
                <w:sz w:val="20"/>
                <w:szCs w:val="20"/>
              </w:rPr>
              <w:t>Biomass energy</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87" w14:textId="2DE47939" w:rsidR="001838B8" w:rsidRDefault="00A731EB" w:rsidP="00B736C9">
            <w:pPr>
              <w:spacing w:after="0"/>
              <w:rPr>
                <w:color w:val="002060"/>
              </w:rPr>
            </w:pPr>
            <w:r>
              <w:rPr>
                <w:color w:val="002060"/>
              </w:rPr>
              <w:t>Rice husk cogeneration plants</w:t>
            </w:r>
          </w:p>
        </w:tc>
      </w:tr>
      <w:tr w:rsidR="001838B8" w14:paraId="202FC28B" w14:textId="77777777">
        <w:trPr>
          <w:trHeight w:val="285"/>
        </w:trPr>
        <w:tc>
          <w:tcPr>
            <w:tcW w:w="3000" w:type="dxa"/>
            <w:tcBorders>
              <w:top w:val="nil"/>
              <w:left w:val="single" w:sz="4" w:space="0" w:color="305496"/>
              <w:bottom w:val="nil"/>
              <w:right w:val="single" w:sz="4" w:space="0" w:color="000000"/>
            </w:tcBorders>
            <w:shd w:val="clear" w:color="auto" w:fill="auto"/>
          </w:tcPr>
          <w:p w14:paraId="202FC289"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8A" w14:textId="17DC6B0C" w:rsidR="001838B8" w:rsidRDefault="00A731EB" w:rsidP="00B736C9">
            <w:pPr>
              <w:spacing w:after="0"/>
              <w:rPr>
                <w:color w:val="002060"/>
              </w:rPr>
            </w:pPr>
            <w:r>
              <w:rPr>
                <w:color w:val="002060"/>
              </w:rPr>
              <w:t xml:space="preserve">Biomass power from biomass residues </w:t>
            </w:r>
          </w:p>
        </w:tc>
      </w:tr>
      <w:tr w:rsidR="001838B8" w14:paraId="202FC28E" w14:textId="77777777">
        <w:trPr>
          <w:trHeight w:val="285"/>
        </w:trPr>
        <w:tc>
          <w:tcPr>
            <w:tcW w:w="3000" w:type="dxa"/>
            <w:tcBorders>
              <w:top w:val="nil"/>
              <w:left w:val="single" w:sz="4" w:space="0" w:color="305496"/>
              <w:bottom w:val="single" w:sz="4" w:space="0" w:color="305496"/>
              <w:right w:val="single" w:sz="4" w:space="0" w:color="000000"/>
            </w:tcBorders>
            <w:shd w:val="clear" w:color="auto" w:fill="auto"/>
          </w:tcPr>
          <w:p w14:paraId="202FC28C"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8D" w14:textId="650ECA3F" w:rsidR="001838B8" w:rsidRDefault="00A731EB" w:rsidP="00B736C9">
            <w:pPr>
              <w:spacing w:after="0"/>
              <w:rPr>
                <w:color w:val="002060"/>
              </w:rPr>
            </w:pPr>
            <w:r>
              <w:rPr>
                <w:color w:val="002060"/>
              </w:rPr>
              <w:t>Bagasse power</w:t>
            </w:r>
          </w:p>
        </w:tc>
      </w:tr>
      <w:tr w:rsidR="001838B8" w14:paraId="202FC291" w14:textId="77777777">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28F" w14:textId="77777777" w:rsidR="001838B8" w:rsidRDefault="00A731EB" w:rsidP="00B736C9">
            <w:pPr>
              <w:spacing w:after="0"/>
              <w:rPr>
                <w:b/>
                <w:sz w:val="20"/>
                <w:szCs w:val="20"/>
              </w:rPr>
            </w:pPr>
            <w:r>
              <w:rPr>
                <w:b/>
                <w:sz w:val="20"/>
                <w:szCs w:val="20"/>
              </w:rPr>
              <w:t>CCS</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90" w14:textId="3B91A685" w:rsidR="001838B8" w:rsidRDefault="00A731EB" w:rsidP="00B736C9">
            <w:pPr>
              <w:spacing w:after="0"/>
              <w:rPr>
                <w:color w:val="002060"/>
              </w:rPr>
            </w:pPr>
            <w:r>
              <w:rPr>
                <w:color w:val="002060"/>
              </w:rPr>
              <w:t>CCS plant</w:t>
            </w:r>
          </w:p>
        </w:tc>
      </w:tr>
      <w:tr w:rsidR="001838B8" w14:paraId="202FC294" w14:textId="77777777">
        <w:trPr>
          <w:trHeight w:val="285"/>
        </w:trPr>
        <w:tc>
          <w:tcPr>
            <w:tcW w:w="3000" w:type="dxa"/>
            <w:tcBorders>
              <w:top w:val="nil"/>
              <w:left w:val="single" w:sz="4" w:space="0" w:color="305496"/>
              <w:bottom w:val="single" w:sz="4" w:space="0" w:color="305496"/>
              <w:right w:val="single" w:sz="4" w:space="0" w:color="000000"/>
            </w:tcBorders>
            <w:shd w:val="clear" w:color="auto" w:fill="auto"/>
            <w:vAlign w:val="bottom"/>
          </w:tcPr>
          <w:p w14:paraId="202FC292" w14:textId="77777777" w:rsidR="001838B8" w:rsidRDefault="00A731EB" w:rsidP="00B736C9">
            <w:pPr>
              <w:spacing w:after="0"/>
              <w:rPr>
                <w:b/>
                <w:sz w:val="20"/>
                <w:szCs w:val="20"/>
              </w:rPr>
            </w:pPr>
            <w:r>
              <w:rPr>
                <w:b/>
                <w:sz w:val="20"/>
                <w:szCs w:val="20"/>
              </w:rPr>
              <w:t>Cement</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293" w14:textId="772535C6" w:rsidR="001838B8" w:rsidRDefault="00A731EB" w:rsidP="00B736C9">
            <w:pPr>
              <w:spacing w:after="0"/>
              <w:rPr>
                <w:color w:val="002060"/>
              </w:rPr>
            </w:pPr>
            <w:r>
              <w:rPr>
                <w:color w:val="002060"/>
              </w:rPr>
              <w:t>Clinker replacement</w:t>
            </w:r>
          </w:p>
        </w:tc>
      </w:tr>
      <w:tr w:rsidR="001838B8" w14:paraId="202FC297" w14:textId="77777777">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295" w14:textId="77777777" w:rsidR="001838B8" w:rsidRDefault="00A731EB" w:rsidP="00B736C9">
            <w:pPr>
              <w:spacing w:after="0"/>
              <w:rPr>
                <w:b/>
                <w:sz w:val="20"/>
                <w:szCs w:val="20"/>
              </w:rPr>
            </w:pPr>
            <w:r>
              <w:rPr>
                <w:b/>
                <w:sz w:val="20"/>
                <w:szCs w:val="20"/>
              </w:rPr>
              <w:t>Coal bed/mine methane</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96" w14:textId="5DA30C69" w:rsidR="001838B8" w:rsidRDefault="00A731EB" w:rsidP="00B736C9">
            <w:pPr>
              <w:spacing w:after="0"/>
              <w:rPr>
                <w:color w:val="002060"/>
              </w:rPr>
            </w:pPr>
            <w:r>
              <w:rPr>
                <w:color w:val="002060"/>
              </w:rPr>
              <w:t>Coal mine methane</w:t>
            </w:r>
          </w:p>
        </w:tc>
      </w:tr>
      <w:tr w:rsidR="001838B8" w14:paraId="202FC29A"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98" w14:textId="77777777" w:rsidR="001838B8" w:rsidRDefault="00A731EB" w:rsidP="00B736C9">
            <w:pPr>
              <w:spacing w:after="0"/>
              <w:rPr>
                <w:b/>
                <w:sz w:val="20"/>
                <w:szCs w:val="20"/>
              </w:rPr>
            </w:pPr>
            <w:r>
              <w:rPr>
                <w:b/>
                <w:sz w:val="20"/>
                <w:szCs w:val="20"/>
              </w:rPr>
              <w:t>EE households</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99" w14:textId="0B06488F" w:rsidR="001838B8" w:rsidRDefault="00A731EB" w:rsidP="00B736C9">
            <w:pPr>
              <w:spacing w:after="0"/>
              <w:rPr>
                <w:color w:val="002060"/>
              </w:rPr>
            </w:pPr>
            <w:r>
              <w:rPr>
                <w:color w:val="002060"/>
              </w:rPr>
              <w:t>Efficient residential air</w:t>
            </w:r>
            <w:r w:rsidR="006568D7">
              <w:rPr>
                <w:color w:val="002060"/>
              </w:rPr>
              <w:t>-</w:t>
            </w:r>
            <w:r>
              <w:rPr>
                <w:color w:val="002060"/>
              </w:rPr>
              <w:t>conditioning</w:t>
            </w:r>
          </w:p>
        </w:tc>
      </w:tr>
      <w:tr w:rsidR="001838B8" w14:paraId="202FC29D"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9B"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9C" w14:textId="0BF27B97" w:rsidR="001838B8" w:rsidRDefault="00A731EB" w:rsidP="00B736C9">
            <w:pPr>
              <w:spacing w:after="0"/>
              <w:rPr>
                <w:color w:val="002060"/>
              </w:rPr>
            </w:pPr>
            <w:r>
              <w:rPr>
                <w:color w:val="002060"/>
              </w:rPr>
              <w:t>Efficient lighting with CFLs</w:t>
            </w:r>
          </w:p>
        </w:tc>
      </w:tr>
      <w:tr w:rsidR="001838B8" w14:paraId="202FC2A0"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9E"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9F" w14:textId="61593CE2" w:rsidR="001838B8" w:rsidRDefault="00A731EB" w:rsidP="00B736C9">
            <w:pPr>
              <w:spacing w:after="0"/>
              <w:rPr>
                <w:color w:val="002060"/>
              </w:rPr>
            </w:pPr>
            <w:r>
              <w:rPr>
                <w:color w:val="002060"/>
              </w:rPr>
              <w:t>Efficient lighting with LEDs</w:t>
            </w:r>
          </w:p>
        </w:tc>
      </w:tr>
      <w:tr w:rsidR="001838B8" w14:paraId="202FC2A3"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A1"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A2" w14:textId="033E91B8" w:rsidR="001838B8" w:rsidRDefault="00A731EB" w:rsidP="00B736C9">
            <w:pPr>
              <w:spacing w:after="0"/>
              <w:rPr>
                <w:color w:val="002060"/>
              </w:rPr>
            </w:pPr>
            <w:r>
              <w:rPr>
                <w:color w:val="002060"/>
              </w:rPr>
              <w:t>Efficient lighting with LEDs replacing CFL</w:t>
            </w:r>
          </w:p>
        </w:tc>
      </w:tr>
      <w:tr w:rsidR="001838B8" w14:paraId="202FC2A6"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A4"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A5" w14:textId="617349A2" w:rsidR="001838B8" w:rsidRDefault="00A731EB" w:rsidP="00B736C9">
            <w:pPr>
              <w:spacing w:after="0"/>
              <w:rPr>
                <w:color w:val="002060"/>
              </w:rPr>
            </w:pPr>
            <w:r>
              <w:rPr>
                <w:color w:val="002060"/>
              </w:rPr>
              <w:t>Efficient wood stoves</w:t>
            </w:r>
          </w:p>
        </w:tc>
      </w:tr>
      <w:tr w:rsidR="001838B8" w14:paraId="202FC2A9"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A7"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A8" w14:textId="1196AB6F" w:rsidR="001838B8" w:rsidRDefault="00A731EB" w:rsidP="00B736C9">
            <w:pPr>
              <w:spacing w:after="0"/>
              <w:rPr>
                <w:color w:val="002060"/>
              </w:rPr>
            </w:pPr>
            <w:r>
              <w:rPr>
                <w:color w:val="002060"/>
              </w:rPr>
              <w:t>Efficient charcoal stoves</w:t>
            </w:r>
          </w:p>
        </w:tc>
      </w:tr>
      <w:tr w:rsidR="001838B8" w14:paraId="202FC2AC"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AA"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AB" w14:textId="7027CC34" w:rsidR="001838B8" w:rsidRDefault="00A731EB" w:rsidP="00B736C9">
            <w:pPr>
              <w:spacing w:after="0"/>
              <w:rPr>
                <w:color w:val="002060"/>
              </w:rPr>
            </w:pPr>
            <w:r>
              <w:rPr>
                <w:color w:val="002060"/>
              </w:rPr>
              <w:t>LPG stoves replacing wood stoves</w:t>
            </w:r>
          </w:p>
        </w:tc>
      </w:tr>
      <w:tr w:rsidR="001838B8" w14:paraId="202FC2AF"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AD"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AE" w14:textId="29065EA6" w:rsidR="001838B8" w:rsidRDefault="00A731EB" w:rsidP="00B736C9">
            <w:pPr>
              <w:spacing w:after="0"/>
              <w:rPr>
                <w:color w:val="002060"/>
              </w:rPr>
            </w:pPr>
            <w:r>
              <w:rPr>
                <w:color w:val="002060"/>
              </w:rPr>
              <w:t>Efficient electric stoves</w:t>
            </w:r>
          </w:p>
        </w:tc>
      </w:tr>
      <w:tr w:rsidR="001838B8" w14:paraId="202FC2B2"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B0"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B1" w14:textId="18818E64" w:rsidR="001838B8" w:rsidRDefault="00A731EB" w:rsidP="00B736C9">
            <w:pPr>
              <w:spacing w:after="0"/>
              <w:rPr>
                <w:color w:val="002060"/>
              </w:rPr>
            </w:pPr>
            <w:r>
              <w:rPr>
                <w:color w:val="002060"/>
              </w:rPr>
              <w:t>Induction based cooking</w:t>
            </w:r>
          </w:p>
        </w:tc>
      </w:tr>
      <w:tr w:rsidR="001838B8" w14:paraId="202FC2B5"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B3"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B4" w14:textId="654A06F0" w:rsidR="001838B8" w:rsidRDefault="00A731EB" w:rsidP="00B736C9">
            <w:pPr>
              <w:spacing w:after="0"/>
              <w:rPr>
                <w:color w:val="002060"/>
              </w:rPr>
            </w:pPr>
            <w:r>
              <w:rPr>
                <w:color w:val="002060"/>
              </w:rPr>
              <w:t>New passive home</w:t>
            </w:r>
          </w:p>
        </w:tc>
      </w:tr>
      <w:tr w:rsidR="001838B8" w14:paraId="202FC2B8" w14:textId="77777777">
        <w:trPr>
          <w:trHeight w:val="285"/>
        </w:trPr>
        <w:tc>
          <w:tcPr>
            <w:tcW w:w="3000" w:type="dxa"/>
            <w:tcBorders>
              <w:top w:val="nil"/>
              <w:left w:val="single" w:sz="4" w:space="0" w:color="305496"/>
              <w:bottom w:val="single" w:sz="4" w:space="0" w:color="305496"/>
              <w:right w:val="single" w:sz="4" w:space="0" w:color="000000"/>
            </w:tcBorders>
            <w:shd w:val="clear" w:color="auto" w:fill="auto"/>
            <w:vAlign w:val="bottom"/>
          </w:tcPr>
          <w:p w14:paraId="202FC2B6"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2B7" w14:textId="653C601B" w:rsidR="001838B8" w:rsidRDefault="00A731EB" w:rsidP="00B736C9">
            <w:pPr>
              <w:spacing w:after="0"/>
              <w:rPr>
                <w:color w:val="002060"/>
              </w:rPr>
            </w:pPr>
            <w:r>
              <w:rPr>
                <w:color w:val="002060"/>
              </w:rPr>
              <w:t>Efficient refrigerators</w:t>
            </w:r>
          </w:p>
        </w:tc>
      </w:tr>
      <w:tr w:rsidR="001838B8" w14:paraId="202FC2BB"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B9" w14:textId="77777777" w:rsidR="001838B8" w:rsidRDefault="00A731EB" w:rsidP="00B736C9">
            <w:pPr>
              <w:spacing w:after="0"/>
              <w:rPr>
                <w:b/>
                <w:sz w:val="20"/>
                <w:szCs w:val="20"/>
              </w:rPr>
            </w:pPr>
            <w:r>
              <w:rPr>
                <w:b/>
                <w:sz w:val="20"/>
                <w:szCs w:val="20"/>
              </w:rPr>
              <w:t>EE industry</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BA" w14:textId="245CE2A6" w:rsidR="001838B8" w:rsidRDefault="00A731EB" w:rsidP="00B736C9">
            <w:pPr>
              <w:spacing w:after="0"/>
              <w:rPr>
                <w:color w:val="002060"/>
              </w:rPr>
            </w:pPr>
            <w:r>
              <w:rPr>
                <w:color w:val="002060"/>
              </w:rPr>
              <w:t>Efficient electric motors</w:t>
            </w:r>
          </w:p>
        </w:tc>
      </w:tr>
      <w:tr w:rsidR="001838B8" w14:paraId="202FC2BE"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BC"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BD" w14:textId="4A2E1A89" w:rsidR="001838B8" w:rsidRDefault="00A731EB" w:rsidP="00B736C9">
            <w:pPr>
              <w:spacing w:after="0"/>
              <w:rPr>
                <w:color w:val="002060"/>
              </w:rPr>
            </w:pPr>
            <w:r>
              <w:rPr>
                <w:color w:val="002060"/>
              </w:rPr>
              <w:t>Energy efficiency in industry</w:t>
            </w:r>
          </w:p>
        </w:tc>
      </w:tr>
      <w:tr w:rsidR="001838B8" w14:paraId="202FC2C1" w14:textId="77777777">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2BF"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C0" w14:textId="163D2E4C" w:rsidR="001838B8" w:rsidRDefault="00A731EB" w:rsidP="00B736C9">
            <w:pPr>
              <w:spacing w:after="0"/>
              <w:rPr>
                <w:color w:val="002060"/>
              </w:rPr>
            </w:pPr>
            <w:r>
              <w:rPr>
                <w:color w:val="002060"/>
              </w:rPr>
              <w:t>Building materials</w:t>
            </w:r>
          </w:p>
        </w:tc>
      </w:tr>
      <w:tr w:rsidR="001838B8" w14:paraId="202FC2C4"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C2" w14:textId="77777777" w:rsidR="001838B8" w:rsidRDefault="00A731EB" w:rsidP="00B736C9">
            <w:pPr>
              <w:spacing w:after="0"/>
              <w:rPr>
                <w:b/>
                <w:sz w:val="20"/>
                <w:szCs w:val="20"/>
              </w:rPr>
            </w:pPr>
            <w:r>
              <w:rPr>
                <w:b/>
                <w:sz w:val="20"/>
                <w:szCs w:val="20"/>
              </w:rPr>
              <w:t>EE own generation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2C3" w14:textId="7B787CCC" w:rsidR="001838B8" w:rsidRDefault="00A731EB" w:rsidP="00B736C9">
            <w:pPr>
              <w:spacing w:after="0"/>
              <w:rPr>
                <w:color w:val="002060"/>
              </w:rPr>
            </w:pPr>
            <w:r>
              <w:rPr>
                <w:color w:val="002060"/>
              </w:rPr>
              <w:t>Waste heat recovery at cement plant</w:t>
            </w:r>
          </w:p>
        </w:tc>
      </w:tr>
      <w:tr w:rsidR="001838B8" w14:paraId="202FC2C7" w14:textId="77777777">
        <w:trPr>
          <w:trHeight w:val="285"/>
        </w:trPr>
        <w:tc>
          <w:tcPr>
            <w:tcW w:w="3000" w:type="dxa"/>
            <w:tcBorders>
              <w:top w:val="nil"/>
              <w:left w:val="single" w:sz="4" w:space="0" w:color="305496"/>
              <w:bottom w:val="single" w:sz="4" w:space="0" w:color="305496"/>
              <w:right w:val="single" w:sz="4" w:space="0" w:color="000000"/>
            </w:tcBorders>
            <w:shd w:val="clear" w:color="auto" w:fill="auto"/>
            <w:vAlign w:val="bottom"/>
          </w:tcPr>
          <w:p w14:paraId="202FC2C5"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2C6" w14:textId="57E415A8" w:rsidR="001838B8" w:rsidRDefault="00A731EB" w:rsidP="00B736C9">
            <w:pPr>
              <w:spacing w:after="0"/>
              <w:rPr>
                <w:color w:val="002060"/>
              </w:rPr>
            </w:pPr>
            <w:r>
              <w:rPr>
                <w:color w:val="002060"/>
              </w:rPr>
              <w:t>Waste heat recovery at steel plant</w:t>
            </w:r>
          </w:p>
        </w:tc>
      </w:tr>
      <w:tr w:rsidR="001838B8" w14:paraId="202FC2CA"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C8" w14:textId="77777777" w:rsidR="001838B8" w:rsidRDefault="00A731EB" w:rsidP="00B736C9">
            <w:pPr>
              <w:spacing w:after="0"/>
              <w:rPr>
                <w:b/>
                <w:sz w:val="20"/>
                <w:szCs w:val="20"/>
              </w:rPr>
            </w:pPr>
            <w:r>
              <w:rPr>
                <w:b/>
                <w:sz w:val="20"/>
                <w:szCs w:val="20"/>
              </w:rPr>
              <w:t>EE service</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C9" w14:textId="3015A98D" w:rsidR="001838B8" w:rsidRDefault="00A731EB" w:rsidP="00B736C9">
            <w:pPr>
              <w:spacing w:after="0"/>
              <w:rPr>
                <w:color w:val="002060"/>
              </w:rPr>
            </w:pPr>
            <w:r>
              <w:rPr>
                <w:color w:val="002060"/>
              </w:rPr>
              <w:t>Efficient electric motors</w:t>
            </w:r>
          </w:p>
        </w:tc>
      </w:tr>
      <w:tr w:rsidR="001838B8" w14:paraId="202FC2CD"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CB"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CC" w14:textId="5733BA33" w:rsidR="001838B8" w:rsidRDefault="00A731EB" w:rsidP="00B736C9">
            <w:pPr>
              <w:spacing w:after="0"/>
              <w:rPr>
                <w:color w:val="002060"/>
              </w:rPr>
            </w:pPr>
            <w:r>
              <w:rPr>
                <w:color w:val="002060"/>
              </w:rPr>
              <w:t>Efficient office lighting with CFLs</w:t>
            </w:r>
          </w:p>
        </w:tc>
      </w:tr>
      <w:tr w:rsidR="001838B8" w14:paraId="202FC2D0"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CE" w14:textId="77777777" w:rsidR="001838B8" w:rsidRDefault="00A731EB" w:rsidP="00B736C9">
            <w:pPr>
              <w:spacing w:after="0"/>
              <w:rPr>
                <w:b/>
                <w:sz w:val="20"/>
                <w:szCs w:val="20"/>
              </w:rPr>
            </w:pPr>
            <w:r>
              <w:rPr>
                <w:b/>
                <w:sz w:val="20"/>
                <w:szCs w:val="20"/>
              </w:rPr>
              <w:lastRenderedPageBreak/>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CF" w14:textId="6B9707A7" w:rsidR="001838B8" w:rsidRDefault="00A731EB" w:rsidP="00B736C9">
            <w:pPr>
              <w:spacing w:after="0"/>
              <w:rPr>
                <w:color w:val="002060"/>
              </w:rPr>
            </w:pPr>
            <w:r>
              <w:rPr>
                <w:color w:val="002060"/>
              </w:rPr>
              <w:t>Efficient office lighting with LEDs</w:t>
            </w:r>
          </w:p>
        </w:tc>
      </w:tr>
      <w:tr w:rsidR="001838B8" w14:paraId="202FC2D3"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D1"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D2" w14:textId="4D1E06BA" w:rsidR="001838B8" w:rsidRDefault="00A731EB" w:rsidP="00B736C9">
            <w:pPr>
              <w:spacing w:after="0"/>
              <w:rPr>
                <w:color w:val="002060"/>
              </w:rPr>
            </w:pPr>
            <w:r>
              <w:rPr>
                <w:color w:val="002060"/>
              </w:rPr>
              <w:t xml:space="preserve">Efficient </w:t>
            </w:r>
            <w:r w:rsidR="006568D7">
              <w:rPr>
                <w:color w:val="002060"/>
              </w:rPr>
              <w:t>streetlights</w:t>
            </w:r>
          </w:p>
        </w:tc>
      </w:tr>
      <w:tr w:rsidR="001838B8" w14:paraId="202FC2D6"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D4"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D5" w14:textId="36B4896D" w:rsidR="001838B8" w:rsidRDefault="00A731EB" w:rsidP="00B736C9">
            <w:pPr>
              <w:spacing w:after="0"/>
              <w:rPr>
                <w:color w:val="002060"/>
              </w:rPr>
            </w:pPr>
            <w:r>
              <w:rPr>
                <w:color w:val="002060"/>
              </w:rPr>
              <w:t>Efficient water pumping</w:t>
            </w:r>
          </w:p>
        </w:tc>
      </w:tr>
      <w:tr w:rsidR="001838B8" w14:paraId="202FC2D9"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D7"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D8" w14:textId="3EC410C8" w:rsidR="001838B8" w:rsidRDefault="00A731EB" w:rsidP="00B736C9">
            <w:pPr>
              <w:spacing w:after="0"/>
              <w:rPr>
                <w:color w:val="002060"/>
              </w:rPr>
            </w:pPr>
            <w:r>
              <w:rPr>
                <w:color w:val="002060"/>
              </w:rPr>
              <w:t>HVAC</w:t>
            </w:r>
          </w:p>
        </w:tc>
      </w:tr>
      <w:tr w:rsidR="001838B8" w14:paraId="202FC2DC"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DA"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DB" w14:textId="4AEE6714" w:rsidR="001838B8" w:rsidRDefault="00A731EB" w:rsidP="00B736C9">
            <w:pPr>
              <w:spacing w:after="0"/>
              <w:rPr>
                <w:color w:val="002060"/>
              </w:rPr>
            </w:pPr>
            <w:r>
              <w:rPr>
                <w:color w:val="002060"/>
              </w:rPr>
              <w:t>Efficient Chiller &gt; 300 TR</w:t>
            </w:r>
          </w:p>
        </w:tc>
      </w:tr>
      <w:tr w:rsidR="001838B8" w14:paraId="202FC2DF"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DD"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DE" w14:textId="7A3A08DE" w:rsidR="001838B8" w:rsidRDefault="00A731EB" w:rsidP="00B736C9">
            <w:pPr>
              <w:spacing w:after="0"/>
              <w:rPr>
                <w:color w:val="002060"/>
              </w:rPr>
            </w:pPr>
            <w:r>
              <w:rPr>
                <w:color w:val="002060"/>
              </w:rPr>
              <w:t>Efficient Chiller &lt; 300 TR</w:t>
            </w:r>
          </w:p>
        </w:tc>
      </w:tr>
      <w:tr w:rsidR="001838B8" w14:paraId="202FC2E2"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E0"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E1" w14:textId="20F9B408" w:rsidR="001838B8" w:rsidRDefault="00A731EB" w:rsidP="00B736C9">
            <w:pPr>
              <w:spacing w:after="0"/>
              <w:rPr>
                <w:color w:val="002060"/>
              </w:rPr>
            </w:pPr>
            <w:r>
              <w:rPr>
                <w:color w:val="002060"/>
              </w:rPr>
              <w:t>Efficient room air</w:t>
            </w:r>
            <w:r w:rsidR="006568D7">
              <w:rPr>
                <w:color w:val="002060"/>
              </w:rPr>
              <w:t>-</w:t>
            </w:r>
            <w:r>
              <w:rPr>
                <w:color w:val="002060"/>
              </w:rPr>
              <w:t>conditioner</w:t>
            </w:r>
          </w:p>
        </w:tc>
      </w:tr>
      <w:tr w:rsidR="001838B8" w14:paraId="202FC2E5"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E3"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E4" w14:textId="4872A0C4" w:rsidR="001838B8" w:rsidRDefault="00A731EB" w:rsidP="00B736C9">
            <w:pPr>
              <w:spacing w:after="0"/>
              <w:rPr>
                <w:color w:val="002060"/>
              </w:rPr>
            </w:pPr>
            <w:r>
              <w:rPr>
                <w:color w:val="002060"/>
              </w:rPr>
              <w:t xml:space="preserve">Efficient commercial dishwashing machine </w:t>
            </w:r>
          </w:p>
        </w:tc>
      </w:tr>
      <w:tr w:rsidR="001838B8" w14:paraId="202FC2E8"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E6"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E7" w14:textId="20344A15" w:rsidR="001838B8" w:rsidRDefault="00A731EB" w:rsidP="00B736C9">
            <w:pPr>
              <w:spacing w:after="0"/>
              <w:rPr>
                <w:color w:val="002060"/>
              </w:rPr>
            </w:pPr>
            <w:r>
              <w:rPr>
                <w:color w:val="002060"/>
              </w:rPr>
              <w:t>Efficient hotel refrigerator</w:t>
            </w:r>
          </w:p>
        </w:tc>
      </w:tr>
      <w:tr w:rsidR="001838B8" w14:paraId="202FC2EB"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E9"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EA" w14:textId="6892949C" w:rsidR="001838B8" w:rsidRDefault="00A731EB" w:rsidP="00B736C9">
            <w:pPr>
              <w:spacing w:after="0"/>
              <w:rPr>
                <w:color w:val="002060"/>
              </w:rPr>
            </w:pPr>
            <w:r>
              <w:rPr>
                <w:color w:val="002060"/>
              </w:rPr>
              <w:t xml:space="preserve">Efficient hotel washing machine </w:t>
            </w:r>
          </w:p>
        </w:tc>
      </w:tr>
      <w:tr w:rsidR="001838B8" w14:paraId="202FC2EE"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2EC"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ED" w14:textId="199852BA" w:rsidR="001838B8" w:rsidRDefault="00A731EB" w:rsidP="00B736C9">
            <w:pPr>
              <w:spacing w:after="0"/>
              <w:rPr>
                <w:color w:val="002060"/>
              </w:rPr>
            </w:pPr>
            <w:r>
              <w:rPr>
                <w:color w:val="002060"/>
              </w:rPr>
              <w:t>Energy efficiency in service</w:t>
            </w:r>
          </w:p>
        </w:tc>
      </w:tr>
      <w:tr w:rsidR="001838B8" w14:paraId="202FC2F1" w14:textId="77777777">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2EF" w14:textId="77777777" w:rsidR="001838B8" w:rsidRDefault="00A731E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2F0" w14:textId="399DE895" w:rsidR="001838B8" w:rsidRDefault="00A731EB" w:rsidP="00B736C9">
            <w:pPr>
              <w:spacing w:after="0"/>
              <w:rPr>
                <w:color w:val="002060"/>
              </w:rPr>
            </w:pPr>
            <w:r>
              <w:rPr>
                <w:color w:val="002060"/>
              </w:rPr>
              <w:t>New office building with central cooling</w:t>
            </w:r>
          </w:p>
        </w:tc>
      </w:tr>
      <w:tr w:rsidR="00E903CB" w14:paraId="202FC2F4"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F2" w14:textId="77777777" w:rsidR="00E903CB" w:rsidRDefault="00E903CB" w:rsidP="00B736C9">
            <w:pPr>
              <w:spacing w:after="0"/>
              <w:rPr>
                <w:b/>
                <w:sz w:val="20"/>
                <w:szCs w:val="20"/>
              </w:rPr>
            </w:pPr>
            <w:r>
              <w:rPr>
                <w:b/>
                <w:sz w:val="20"/>
                <w:szCs w:val="20"/>
              </w:rPr>
              <w:t>EE supply side</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2F3" w14:textId="3513FAE8" w:rsidR="00E903CB" w:rsidRDefault="00E903CB" w:rsidP="00B736C9">
            <w:pPr>
              <w:spacing w:after="0"/>
              <w:rPr>
                <w:color w:val="002060"/>
              </w:rPr>
            </w:pPr>
            <w:r>
              <w:rPr>
                <w:color w:val="002060"/>
              </w:rPr>
              <w:t>New natural gas power plant</w:t>
            </w:r>
          </w:p>
        </w:tc>
      </w:tr>
      <w:tr w:rsidR="00E903CB" w14:paraId="202FC2F7"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F5" w14:textId="77777777" w:rsidR="00E903CB" w:rsidRDefault="00E903C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2F6" w14:textId="22659FB3" w:rsidR="00E903CB" w:rsidRDefault="00E903CB" w:rsidP="00B736C9">
            <w:pPr>
              <w:spacing w:after="0"/>
              <w:rPr>
                <w:color w:val="002060"/>
              </w:rPr>
            </w:pPr>
            <w:r>
              <w:rPr>
                <w:color w:val="002060"/>
              </w:rPr>
              <w:t>Switch from fuel oil to natural gas</w:t>
            </w:r>
          </w:p>
        </w:tc>
      </w:tr>
      <w:tr w:rsidR="00E903CB" w14:paraId="202FC2FA"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2F8" w14:textId="77777777" w:rsidR="00E903CB" w:rsidRDefault="00E903C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2F9" w14:textId="004D42E0" w:rsidR="00E903CB" w:rsidRDefault="00E903CB" w:rsidP="00B736C9">
            <w:pPr>
              <w:spacing w:after="0"/>
              <w:rPr>
                <w:color w:val="002060"/>
              </w:rPr>
            </w:pPr>
            <w:r>
              <w:rPr>
                <w:color w:val="002060"/>
              </w:rPr>
              <w:t>Cogeneration in industry</w:t>
            </w:r>
          </w:p>
        </w:tc>
      </w:tr>
      <w:tr w:rsidR="00E903CB" w14:paraId="202FC2FD" w14:textId="77777777" w:rsidTr="00FA77A4">
        <w:trPr>
          <w:trHeight w:val="285"/>
        </w:trPr>
        <w:tc>
          <w:tcPr>
            <w:tcW w:w="3000" w:type="dxa"/>
            <w:tcBorders>
              <w:top w:val="nil"/>
              <w:left w:val="single" w:sz="4" w:space="0" w:color="305496"/>
              <w:bottom w:val="single" w:sz="4" w:space="0" w:color="4472C4" w:themeColor="accent5"/>
              <w:right w:val="single" w:sz="4" w:space="0" w:color="000000"/>
            </w:tcBorders>
            <w:shd w:val="clear" w:color="auto" w:fill="auto"/>
            <w:vAlign w:val="bottom"/>
          </w:tcPr>
          <w:p w14:paraId="202FC2FB" w14:textId="77777777" w:rsidR="00E903CB" w:rsidRDefault="00E903CB" w:rsidP="00B736C9">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2FC" w14:textId="5C4370B5" w:rsidR="00E903CB" w:rsidRDefault="00E903CB" w:rsidP="00B736C9">
            <w:pPr>
              <w:spacing w:after="0"/>
              <w:rPr>
                <w:color w:val="002060"/>
              </w:rPr>
            </w:pPr>
            <w:r>
              <w:rPr>
                <w:color w:val="002060"/>
              </w:rPr>
              <w:t>Single cycle to combined cycle</w:t>
            </w:r>
          </w:p>
        </w:tc>
      </w:tr>
      <w:tr w:rsidR="009A3DAF" w14:paraId="202FC306" w14:textId="77777777" w:rsidTr="00FA77A4">
        <w:trPr>
          <w:trHeight w:val="285"/>
        </w:trPr>
        <w:tc>
          <w:tcPr>
            <w:tcW w:w="3000" w:type="dxa"/>
            <w:tcBorders>
              <w:top w:val="single" w:sz="4" w:space="0" w:color="4472C4" w:themeColor="accent5"/>
              <w:left w:val="single" w:sz="4" w:space="0" w:color="305496"/>
              <w:bottom w:val="nil"/>
              <w:right w:val="single" w:sz="4" w:space="0" w:color="000000"/>
            </w:tcBorders>
            <w:shd w:val="clear" w:color="auto" w:fill="C9C9C9"/>
            <w:vAlign w:val="bottom"/>
          </w:tcPr>
          <w:p w14:paraId="202FC304" w14:textId="77777777" w:rsidR="009A3DAF" w:rsidRDefault="009A3DAF" w:rsidP="009A3DAF">
            <w:pPr>
              <w:spacing w:after="0"/>
              <w:rPr>
                <w:b/>
                <w:sz w:val="20"/>
                <w:szCs w:val="20"/>
              </w:rPr>
            </w:pPr>
            <w:r>
              <w:rPr>
                <w:b/>
                <w:sz w:val="20"/>
                <w:szCs w:val="20"/>
              </w:rPr>
              <w:t>Energy distribution</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05" w14:textId="5BBE5DA1" w:rsidR="009A3DAF" w:rsidRDefault="009A3DAF" w:rsidP="009A3DAF">
            <w:pPr>
              <w:spacing w:after="0"/>
              <w:rPr>
                <w:color w:val="002060"/>
              </w:rPr>
            </w:pPr>
            <w:r>
              <w:rPr>
                <w:color w:val="002060"/>
              </w:rPr>
              <w:t>Efficient electric grids</w:t>
            </w:r>
          </w:p>
        </w:tc>
      </w:tr>
      <w:tr w:rsidR="009A3DAF" w14:paraId="202FC309"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07"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08" w14:textId="311AD9BB" w:rsidR="009A3DAF" w:rsidRDefault="009A3DAF" w:rsidP="009A3DAF">
            <w:pPr>
              <w:spacing w:after="0"/>
              <w:rPr>
                <w:color w:val="002060"/>
              </w:rPr>
            </w:pPr>
            <w:r>
              <w:rPr>
                <w:color w:val="002060"/>
              </w:rPr>
              <w:t xml:space="preserve">Connection of isolated grid to central grid </w:t>
            </w:r>
          </w:p>
        </w:tc>
      </w:tr>
      <w:tr w:rsidR="009A3DAF" w14:paraId="202FC30C"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0A"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0B" w14:textId="6E1FB884" w:rsidR="009A3DAF" w:rsidRDefault="009A3DAF" w:rsidP="009A3DAF">
            <w:pPr>
              <w:spacing w:after="0"/>
              <w:rPr>
                <w:color w:val="002060"/>
              </w:rPr>
            </w:pPr>
            <w:r>
              <w:rPr>
                <w:color w:val="002060"/>
              </w:rPr>
              <w:t xml:space="preserve">Power </w:t>
            </w:r>
            <w:proofErr w:type="gramStart"/>
            <w:r>
              <w:rPr>
                <w:color w:val="002060"/>
              </w:rPr>
              <w:t>factor</w:t>
            </w:r>
            <w:proofErr w:type="gramEnd"/>
            <w:r>
              <w:rPr>
                <w:color w:val="002060"/>
              </w:rPr>
              <w:t xml:space="preserve"> increase</w:t>
            </w:r>
          </w:p>
        </w:tc>
      </w:tr>
      <w:tr w:rsidR="009A3DAF" w14:paraId="202FC30F" w14:textId="77777777" w:rsidTr="00FA77A4">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0D"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202FC30E" w14:textId="51F69B22" w:rsidR="009A3DAF" w:rsidRDefault="009A3DAF" w:rsidP="009A3DAF">
            <w:pPr>
              <w:spacing w:after="0"/>
              <w:rPr>
                <w:color w:val="002060"/>
              </w:rPr>
            </w:pPr>
            <w:r>
              <w:rPr>
                <w:color w:val="002060"/>
              </w:rPr>
              <w:t>District heating network rehabilitation (100,000 flats supplied)</w:t>
            </w:r>
          </w:p>
        </w:tc>
      </w:tr>
      <w:tr w:rsidR="009A3DAF" w14:paraId="202FC312" w14:textId="77777777" w:rsidTr="00FA77A4">
        <w:trPr>
          <w:trHeight w:val="290"/>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310" w14:textId="77777777" w:rsidR="009A3DAF" w:rsidRDefault="009A3DAF" w:rsidP="009A3DAF">
            <w:pPr>
              <w:spacing w:after="0"/>
              <w:rPr>
                <w:sz w:val="20"/>
                <w:szCs w:val="20"/>
              </w:rPr>
            </w:pPr>
            <w:r>
              <w:rPr>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202FC311" w14:textId="7CAA58DD" w:rsidR="009A3DAF" w:rsidRDefault="009A3DAF" w:rsidP="009A3DAF">
            <w:pPr>
              <w:spacing w:after="0"/>
              <w:rPr>
                <w:color w:val="002060"/>
              </w:rPr>
            </w:pPr>
            <w:r>
              <w:rPr>
                <w:color w:val="002060"/>
              </w:rPr>
              <w:t>District cooling network (1 million m2 new city area covered)</w:t>
            </w:r>
          </w:p>
        </w:tc>
      </w:tr>
      <w:tr w:rsidR="009A3DAF" w14:paraId="202FC315"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13" w14:textId="77777777" w:rsidR="009A3DAF" w:rsidRDefault="009A3DAF" w:rsidP="009A3DAF">
            <w:pPr>
              <w:spacing w:after="0"/>
              <w:rPr>
                <w:b/>
                <w:sz w:val="20"/>
                <w:szCs w:val="20"/>
              </w:rPr>
            </w:pPr>
            <w:r>
              <w:rPr>
                <w:b/>
                <w:sz w:val="20"/>
                <w:szCs w:val="20"/>
              </w:rPr>
              <w:t>Forestry</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14" w14:textId="11524CE6" w:rsidR="009A3DAF" w:rsidRDefault="009A3DAF" w:rsidP="009A3DAF">
            <w:pPr>
              <w:spacing w:after="0"/>
              <w:rPr>
                <w:color w:val="002060"/>
              </w:rPr>
            </w:pPr>
            <w:r>
              <w:rPr>
                <w:color w:val="002060"/>
              </w:rPr>
              <w:t>Reforestation</w:t>
            </w:r>
          </w:p>
        </w:tc>
      </w:tr>
      <w:tr w:rsidR="009A3DAF" w14:paraId="202FC318"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16"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17" w14:textId="0C07272D" w:rsidR="009A3DAF" w:rsidRDefault="009A3DAF" w:rsidP="009A3DAF">
            <w:pPr>
              <w:spacing w:after="0"/>
              <w:rPr>
                <w:color w:val="002060"/>
              </w:rPr>
            </w:pPr>
            <w:r>
              <w:rPr>
                <w:color w:val="002060"/>
              </w:rPr>
              <w:t>REDD: Avoided deforestation</w:t>
            </w:r>
          </w:p>
        </w:tc>
      </w:tr>
      <w:tr w:rsidR="009A3DAF" w14:paraId="202FC31B"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19"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1A" w14:textId="2673BBF0" w:rsidR="009A3DAF" w:rsidRDefault="009A3DAF" w:rsidP="009A3DAF">
            <w:pPr>
              <w:spacing w:after="0"/>
              <w:rPr>
                <w:color w:val="002060"/>
              </w:rPr>
            </w:pPr>
            <w:r>
              <w:rPr>
                <w:color w:val="002060"/>
              </w:rPr>
              <w:t>Assisted forest regeneration</w:t>
            </w:r>
          </w:p>
        </w:tc>
      </w:tr>
      <w:tr w:rsidR="009A3DAF" w14:paraId="202FC31E" w14:textId="77777777" w:rsidTr="001B1B12">
        <w:trPr>
          <w:trHeight w:val="285"/>
        </w:trPr>
        <w:tc>
          <w:tcPr>
            <w:tcW w:w="3000" w:type="dxa"/>
            <w:tcBorders>
              <w:top w:val="nil"/>
              <w:left w:val="single" w:sz="4" w:space="0" w:color="305496"/>
              <w:bottom w:val="nil"/>
              <w:right w:val="single" w:sz="4" w:space="0" w:color="000000"/>
            </w:tcBorders>
            <w:shd w:val="clear" w:color="auto" w:fill="auto"/>
            <w:vAlign w:val="bottom"/>
          </w:tcPr>
          <w:p w14:paraId="202FC31C"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1D" w14:textId="5FD11454" w:rsidR="009A3DAF" w:rsidRDefault="009A3DAF" w:rsidP="009A3DAF">
            <w:pPr>
              <w:spacing w:after="0"/>
              <w:rPr>
                <w:color w:val="002060"/>
              </w:rPr>
            </w:pPr>
            <w:r>
              <w:rPr>
                <w:color w:val="002060"/>
              </w:rPr>
              <w:t>Reforestation with agroforestry</w:t>
            </w:r>
          </w:p>
        </w:tc>
      </w:tr>
      <w:tr w:rsidR="009A3DAF" w14:paraId="202FC321"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auto"/>
            <w:vAlign w:val="bottom"/>
          </w:tcPr>
          <w:p w14:paraId="202FC31F"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20" w14:textId="3EF2E110" w:rsidR="009A3DAF" w:rsidRDefault="009A3DAF" w:rsidP="009A3DAF">
            <w:pPr>
              <w:spacing w:after="0"/>
              <w:rPr>
                <w:color w:val="002060"/>
              </w:rPr>
            </w:pPr>
            <w:r>
              <w:rPr>
                <w:color w:val="002060"/>
              </w:rPr>
              <w:t xml:space="preserve">Reforestation with </w:t>
            </w:r>
            <w:proofErr w:type="spellStart"/>
            <w:r>
              <w:rPr>
                <w:color w:val="002060"/>
              </w:rPr>
              <w:t>silvopasture</w:t>
            </w:r>
            <w:proofErr w:type="spellEnd"/>
          </w:p>
        </w:tc>
      </w:tr>
      <w:tr w:rsidR="009A3DAF" w14:paraId="202FC324" w14:textId="77777777" w:rsidTr="001B1B12">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22" w14:textId="77777777" w:rsidR="009A3DAF" w:rsidRDefault="009A3DAF" w:rsidP="009A3DAF">
            <w:pPr>
              <w:spacing w:after="0"/>
              <w:rPr>
                <w:b/>
                <w:sz w:val="20"/>
                <w:szCs w:val="20"/>
              </w:rPr>
            </w:pPr>
            <w:r>
              <w:rPr>
                <w:b/>
                <w:sz w:val="20"/>
                <w:szCs w:val="20"/>
              </w:rPr>
              <w:t>Fossil fuel switch</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23" w14:textId="50C20E5B" w:rsidR="009A3DAF" w:rsidRDefault="009A3DAF" w:rsidP="009A3DAF">
            <w:pPr>
              <w:spacing w:after="0"/>
              <w:rPr>
                <w:color w:val="002060"/>
              </w:rPr>
            </w:pPr>
            <w:r>
              <w:rPr>
                <w:color w:val="002060"/>
              </w:rPr>
              <w:t>Switch from coal to natural gas in industry</w:t>
            </w:r>
          </w:p>
        </w:tc>
      </w:tr>
      <w:tr w:rsidR="009A3DAF" w14:paraId="202FC327"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325"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26" w14:textId="7F56E554" w:rsidR="009A3DAF" w:rsidRDefault="009A3DAF" w:rsidP="009A3DAF">
            <w:pPr>
              <w:spacing w:after="0"/>
              <w:rPr>
                <w:color w:val="002060"/>
              </w:rPr>
            </w:pPr>
            <w:r>
              <w:rPr>
                <w:color w:val="002060"/>
              </w:rPr>
              <w:t>Switch from fuel oil to natural gas in industry</w:t>
            </w:r>
          </w:p>
        </w:tc>
      </w:tr>
      <w:tr w:rsidR="009A3DAF" w14:paraId="202FC32A"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28" w14:textId="77777777" w:rsidR="009A3DAF" w:rsidRDefault="009A3DAF" w:rsidP="009A3DAF">
            <w:pPr>
              <w:spacing w:after="0"/>
              <w:rPr>
                <w:b/>
                <w:sz w:val="20"/>
                <w:szCs w:val="20"/>
              </w:rPr>
            </w:pPr>
            <w:r>
              <w:rPr>
                <w:b/>
                <w:sz w:val="20"/>
                <w:szCs w:val="20"/>
              </w:rPr>
              <w:t>Fugitive</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29" w14:textId="3D2AEDC8" w:rsidR="009A3DAF" w:rsidRDefault="009A3DAF" w:rsidP="009A3DAF">
            <w:pPr>
              <w:spacing w:after="0"/>
              <w:rPr>
                <w:color w:val="002060"/>
              </w:rPr>
            </w:pPr>
            <w:r>
              <w:rPr>
                <w:color w:val="002060"/>
              </w:rPr>
              <w:t>Reduced flaring at oil field</w:t>
            </w:r>
          </w:p>
        </w:tc>
      </w:tr>
      <w:tr w:rsidR="009A3DAF" w14:paraId="202FC32D"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2B"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2C" w14:textId="5D9BAEEC" w:rsidR="009A3DAF" w:rsidRDefault="009A3DAF" w:rsidP="009A3DAF">
            <w:pPr>
              <w:spacing w:after="0"/>
              <w:rPr>
                <w:color w:val="002060"/>
              </w:rPr>
            </w:pPr>
            <w:r>
              <w:rPr>
                <w:color w:val="002060"/>
              </w:rPr>
              <w:t>Reduced flaring at oil refineries</w:t>
            </w:r>
          </w:p>
        </w:tc>
      </w:tr>
      <w:tr w:rsidR="009A3DAF" w14:paraId="202FC330" w14:textId="77777777" w:rsidTr="001B1B12">
        <w:trPr>
          <w:trHeight w:val="285"/>
        </w:trPr>
        <w:tc>
          <w:tcPr>
            <w:tcW w:w="3000" w:type="dxa"/>
            <w:tcBorders>
              <w:top w:val="nil"/>
              <w:left w:val="single" w:sz="4" w:space="0" w:color="305496"/>
              <w:bottom w:val="nil"/>
              <w:right w:val="single" w:sz="4" w:space="0" w:color="000000"/>
            </w:tcBorders>
            <w:shd w:val="clear" w:color="auto" w:fill="auto"/>
            <w:vAlign w:val="bottom"/>
          </w:tcPr>
          <w:p w14:paraId="202FC32E"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2F" w14:textId="66907A68" w:rsidR="009A3DAF" w:rsidRDefault="009A3DAF" w:rsidP="009A3DAF">
            <w:pPr>
              <w:spacing w:after="0"/>
              <w:rPr>
                <w:color w:val="002060"/>
              </w:rPr>
            </w:pPr>
            <w:r>
              <w:rPr>
                <w:color w:val="002060"/>
              </w:rPr>
              <w:t>Leak reduction in natural gas pipelines</w:t>
            </w:r>
          </w:p>
        </w:tc>
      </w:tr>
      <w:tr w:rsidR="009A3DAF" w14:paraId="202FC333"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auto"/>
            <w:vAlign w:val="bottom"/>
          </w:tcPr>
          <w:p w14:paraId="202FC331"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32" w14:textId="665A8C93" w:rsidR="009A3DAF" w:rsidRDefault="009A3DAF" w:rsidP="009A3DAF">
            <w:pPr>
              <w:spacing w:after="0"/>
              <w:rPr>
                <w:color w:val="002060"/>
              </w:rPr>
            </w:pPr>
            <w:r>
              <w:rPr>
                <w:color w:val="002060"/>
              </w:rPr>
              <w:t>Charcoal production</w:t>
            </w:r>
          </w:p>
        </w:tc>
      </w:tr>
      <w:tr w:rsidR="009A3DAF" w14:paraId="202FC336" w14:textId="77777777" w:rsidTr="001B1B12">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34" w14:textId="77777777" w:rsidR="009A3DAF" w:rsidRDefault="009A3DAF" w:rsidP="009A3DAF">
            <w:pPr>
              <w:spacing w:after="0"/>
              <w:rPr>
                <w:b/>
                <w:sz w:val="20"/>
                <w:szCs w:val="20"/>
              </w:rPr>
            </w:pPr>
            <w:r>
              <w:rPr>
                <w:b/>
                <w:sz w:val="20"/>
                <w:szCs w:val="20"/>
              </w:rPr>
              <w:t>Geothermal</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35" w14:textId="53672DF9" w:rsidR="009A3DAF" w:rsidRDefault="009A3DAF" w:rsidP="009A3DAF">
            <w:pPr>
              <w:spacing w:after="0"/>
              <w:rPr>
                <w:color w:val="002060"/>
              </w:rPr>
            </w:pPr>
            <w:r>
              <w:rPr>
                <w:color w:val="002060"/>
              </w:rPr>
              <w:t>Geothermal power</w:t>
            </w:r>
          </w:p>
        </w:tc>
      </w:tr>
      <w:tr w:rsidR="009A3DAF" w14:paraId="202FC339"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337"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38" w14:textId="2A782465" w:rsidR="009A3DAF" w:rsidRDefault="009A3DAF" w:rsidP="009A3DAF">
            <w:pPr>
              <w:spacing w:after="0"/>
              <w:rPr>
                <w:color w:val="002060"/>
              </w:rPr>
            </w:pPr>
            <w:r>
              <w:rPr>
                <w:color w:val="002060"/>
              </w:rPr>
              <w:t>Geothermal heat</w:t>
            </w:r>
          </w:p>
        </w:tc>
      </w:tr>
      <w:tr w:rsidR="009A3DAF" w14:paraId="202FC33C"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auto"/>
            <w:vAlign w:val="bottom"/>
          </w:tcPr>
          <w:p w14:paraId="202FC33A" w14:textId="77777777" w:rsidR="009A3DAF" w:rsidRDefault="009A3DAF" w:rsidP="009A3DAF">
            <w:pPr>
              <w:spacing w:after="0"/>
              <w:rPr>
                <w:b/>
                <w:sz w:val="20"/>
                <w:szCs w:val="20"/>
              </w:rPr>
            </w:pPr>
            <w:r>
              <w:rPr>
                <w:b/>
                <w:sz w:val="20"/>
                <w:szCs w:val="20"/>
              </w:rPr>
              <w:t>HFCs, PFCs, SF6</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3B" w14:textId="7F5D4873" w:rsidR="009A3DAF" w:rsidRDefault="009A3DAF" w:rsidP="009A3DAF">
            <w:pPr>
              <w:spacing w:after="0"/>
              <w:rPr>
                <w:color w:val="002060"/>
              </w:rPr>
            </w:pPr>
            <w:r>
              <w:rPr>
                <w:color w:val="002060"/>
              </w:rPr>
              <w:t>Reduced PFCs from aluminium production</w:t>
            </w:r>
          </w:p>
        </w:tc>
      </w:tr>
      <w:tr w:rsidR="009A3DAF" w14:paraId="202FC33F"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3D" w14:textId="77777777" w:rsidR="009A3DAF" w:rsidRDefault="009A3DAF" w:rsidP="009A3DAF">
            <w:pPr>
              <w:spacing w:after="0"/>
              <w:rPr>
                <w:b/>
                <w:sz w:val="20"/>
                <w:szCs w:val="20"/>
              </w:rPr>
            </w:pPr>
            <w:r>
              <w:rPr>
                <w:b/>
                <w:sz w:val="20"/>
                <w:szCs w:val="20"/>
              </w:rPr>
              <w:t>Hydro</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3E" w14:textId="088643A9" w:rsidR="009A3DAF" w:rsidRDefault="009A3DAF" w:rsidP="009A3DAF">
            <w:pPr>
              <w:spacing w:after="0"/>
              <w:rPr>
                <w:color w:val="002060"/>
              </w:rPr>
            </w:pPr>
            <w:r>
              <w:rPr>
                <w:color w:val="002060"/>
              </w:rPr>
              <w:t>Hydro power connected to main grid</w:t>
            </w:r>
          </w:p>
        </w:tc>
      </w:tr>
      <w:tr w:rsidR="009A3DAF" w14:paraId="202FC342" w14:textId="77777777" w:rsidTr="001B1B12">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40"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41" w14:textId="6BB29AF2" w:rsidR="009A3DAF" w:rsidRDefault="009A3DAF" w:rsidP="009A3DAF">
            <w:pPr>
              <w:spacing w:after="0"/>
              <w:rPr>
                <w:color w:val="002060"/>
              </w:rPr>
            </w:pPr>
            <w:r>
              <w:rPr>
                <w:color w:val="002060"/>
              </w:rPr>
              <w:t>Mini hydro power connected to main grid</w:t>
            </w:r>
          </w:p>
        </w:tc>
      </w:tr>
      <w:tr w:rsidR="009A3DAF" w14:paraId="202FC345"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343"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44" w14:textId="1D6649CA" w:rsidR="009A3DAF" w:rsidRDefault="009A3DAF" w:rsidP="009A3DAF">
            <w:pPr>
              <w:spacing w:after="0"/>
              <w:rPr>
                <w:color w:val="002060"/>
              </w:rPr>
            </w:pPr>
            <w:r>
              <w:rPr>
                <w:color w:val="002060"/>
              </w:rPr>
              <w:t>Mini hydro power off grid</w:t>
            </w:r>
          </w:p>
        </w:tc>
      </w:tr>
      <w:tr w:rsidR="009A3DAF" w14:paraId="202FC348"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46" w14:textId="77777777" w:rsidR="009A3DAF" w:rsidRDefault="009A3DAF" w:rsidP="009A3DAF">
            <w:pPr>
              <w:spacing w:after="0"/>
              <w:rPr>
                <w:b/>
                <w:sz w:val="20"/>
                <w:szCs w:val="20"/>
              </w:rPr>
            </w:pPr>
            <w:r>
              <w:rPr>
                <w:b/>
                <w:sz w:val="20"/>
                <w:szCs w:val="20"/>
              </w:rPr>
              <w:t>Landfills</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47" w14:textId="6AE251B0" w:rsidR="009A3DAF" w:rsidRDefault="009A3DAF" w:rsidP="009A3DAF">
            <w:pPr>
              <w:spacing w:after="0"/>
              <w:rPr>
                <w:color w:val="002060"/>
              </w:rPr>
            </w:pPr>
            <w:r>
              <w:rPr>
                <w:color w:val="002060"/>
              </w:rPr>
              <w:t>Landfill gas plant with power production</w:t>
            </w:r>
          </w:p>
        </w:tc>
      </w:tr>
      <w:tr w:rsidR="009A3DAF" w14:paraId="202FC34B"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49" w14:textId="77777777" w:rsidR="009A3DAF" w:rsidRDefault="009A3DAF" w:rsidP="009A3DAF">
            <w:pPr>
              <w:spacing w:after="0"/>
              <w:rPr>
                <w:b/>
                <w:sz w:val="20"/>
                <w:szCs w:val="20"/>
              </w:rPr>
            </w:pPr>
            <w:r>
              <w:rPr>
                <w:b/>
                <w:sz w:val="20"/>
                <w:szCs w:val="20"/>
              </w:rPr>
              <w:lastRenderedPageBreak/>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4A" w14:textId="3CBDA243" w:rsidR="009A3DAF" w:rsidRDefault="009A3DAF" w:rsidP="009A3DAF">
            <w:pPr>
              <w:spacing w:after="0"/>
              <w:rPr>
                <w:color w:val="002060"/>
              </w:rPr>
            </w:pPr>
            <w:r>
              <w:rPr>
                <w:color w:val="002060"/>
              </w:rPr>
              <w:t>Landfill gas flaring</w:t>
            </w:r>
          </w:p>
        </w:tc>
      </w:tr>
      <w:tr w:rsidR="009A3DAF" w14:paraId="202FC34E"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4C"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4D" w14:textId="6819981D" w:rsidR="009A3DAF" w:rsidRDefault="009A3DAF" w:rsidP="009A3DAF">
            <w:pPr>
              <w:spacing w:after="0"/>
              <w:rPr>
                <w:color w:val="002060"/>
              </w:rPr>
            </w:pPr>
            <w:r>
              <w:rPr>
                <w:color w:val="002060"/>
              </w:rPr>
              <w:t>Incineration plant</w:t>
            </w:r>
          </w:p>
        </w:tc>
      </w:tr>
      <w:tr w:rsidR="009A3DAF" w14:paraId="202FC351"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4F"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50" w14:textId="09A33932" w:rsidR="009A3DAF" w:rsidRDefault="009A3DAF" w:rsidP="009A3DAF">
            <w:pPr>
              <w:spacing w:after="0"/>
              <w:rPr>
                <w:color w:val="002060"/>
              </w:rPr>
            </w:pPr>
            <w:r>
              <w:rPr>
                <w:color w:val="002060"/>
              </w:rPr>
              <w:t>Recycling of plastics</w:t>
            </w:r>
          </w:p>
        </w:tc>
      </w:tr>
      <w:tr w:rsidR="009A3DAF" w14:paraId="202FC354"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52"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53" w14:textId="07B66D82" w:rsidR="009A3DAF" w:rsidRDefault="009A3DAF" w:rsidP="009A3DAF">
            <w:pPr>
              <w:spacing w:after="0"/>
              <w:rPr>
                <w:color w:val="002060"/>
              </w:rPr>
            </w:pPr>
            <w:r>
              <w:rPr>
                <w:color w:val="002060"/>
              </w:rPr>
              <w:t xml:space="preserve">Refuse Derived Fuel (RDF) from MSW </w:t>
            </w:r>
          </w:p>
        </w:tc>
      </w:tr>
      <w:tr w:rsidR="009A3DAF" w14:paraId="202FC357" w14:textId="77777777" w:rsidTr="001B1B12">
        <w:trPr>
          <w:trHeight w:val="285"/>
        </w:trPr>
        <w:tc>
          <w:tcPr>
            <w:tcW w:w="3000" w:type="dxa"/>
            <w:tcBorders>
              <w:top w:val="nil"/>
              <w:left w:val="single" w:sz="4" w:space="0" w:color="305496"/>
              <w:bottom w:val="nil"/>
              <w:right w:val="single" w:sz="4" w:space="0" w:color="000000"/>
            </w:tcBorders>
            <w:shd w:val="clear" w:color="auto" w:fill="auto"/>
            <w:vAlign w:val="bottom"/>
          </w:tcPr>
          <w:p w14:paraId="202FC355"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56" w14:textId="4B3343A4" w:rsidR="009A3DAF" w:rsidRDefault="009A3DAF" w:rsidP="009A3DAF">
            <w:pPr>
              <w:spacing w:after="0"/>
              <w:rPr>
                <w:color w:val="002060"/>
              </w:rPr>
            </w:pPr>
            <w:r>
              <w:rPr>
                <w:color w:val="002060"/>
              </w:rPr>
              <w:t>Biogas from Municipal Solid Waste</w:t>
            </w:r>
          </w:p>
        </w:tc>
      </w:tr>
      <w:tr w:rsidR="009A3DAF" w14:paraId="202FC35A"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auto"/>
            <w:vAlign w:val="bottom"/>
          </w:tcPr>
          <w:p w14:paraId="202FC358"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59" w14:textId="6826BCB2" w:rsidR="009A3DAF" w:rsidRDefault="009A3DAF" w:rsidP="009A3DAF">
            <w:pPr>
              <w:spacing w:after="0"/>
              <w:rPr>
                <w:color w:val="002060"/>
              </w:rPr>
            </w:pPr>
            <w:r>
              <w:rPr>
                <w:color w:val="002060"/>
              </w:rPr>
              <w:t>Composting of Municipal Solid Waste</w:t>
            </w:r>
          </w:p>
        </w:tc>
      </w:tr>
      <w:tr w:rsidR="009A3DAF" w14:paraId="202FC35D" w14:textId="77777777" w:rsidTr="001B1B12">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5B" w14:textId="77777777" w:rsidR="009A3DAF" w:rsidRDefault="009A3DAF" w:rsidP="009A3DAF">
            <w:pPr>
              <w:spacing w:after="0"/>
              <w:rPr>
                <w:b/>
                <w:sz w:val="20"/>
                <w:szCs w:val="20"/>
              </w:rPr>
            </w:pPr>
            <w:r>
              <w:rPr>
                <w:b/>
                <w:sz w:val="20"/>
                <w:szCs w:val="20"/>
              </w:rPr>
              <w:t>Marine</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5C" w14:textId="7A86E5AB" w:rsidR="009A3DAF" w:rsidRDefault="009A3DAF" w:rsidP="009A3DAF">
            <w:pPr>
              <w:spacing w:after="0"/>
              <w:rPr>
                <w:color w:val="002060"/>
              </w:rPr>
            </w:pPr>
            <w:r>
              <w:rPr>
                <w:color w:val="002060"/>
              </w:rPr>
              <w:t>Tidal</w:t>
            </w:r>
          </w:p>
        </w:tc>
      </w:tr>
      <w:tr w:rsidR="009A3DAF" w14:paraId="202FC360"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35E"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5F" w14:textId="59A8713A" w:rsidR="009A3DAF" w:rsidRDefault="009A3DAF" w:rsidP="009A3DAF">
            <w:pPr>
              <w:spacing w:after="0"/>
              <w:rPr>
                <w:color w:val="002060"/>
              </w:rPr>
            </w:pPr>
            <w:r>
              <w:rPr>
                <w:color w:val="002060"/>
              </w:rPr>
              <w:t>Wave</w:t>
            </w:r>
          </w:p>
        </w:tc>
      </w:tr>
      <w:tr w:rsidR="009A3DAF" w14:paraId="202FC363"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61" w14:textId="77777777" w:rsidR="009A3DAF" w:rsidRDefault="009A3DAF" w:rsidP="009A3DAF">
            <w:pPr>
              <w:spacing w:after="0"/>
              <w:rPr>
                <w:b/>
                <w:sz w:val="20"/>
                <w:szCs w:val="20"/>
              </w:rPr>
            </w:pPr>
            <w:r>
              <w:rPr>
                <w:b/>
                <w:sz w:val="20"/>
                <w:szCs w:val="20"/>
              </w:rPr>
              <w:t>Methane avoidance</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62" w14:textId="34C4F077" w:rsidR="009A3DAF" w:rsidRDefault="009A3DAF" w:rsidP="009A3DAF">
            <w:pPr>
              <w:spacing w:after="0"/>
              <w:rPr>
                <w:color w:val="002060"/>
              </w:rPr>
            </w:pPr>
            <w:r>
              <w:rPr>
                <w:color w:val="002060"/>
              </w:rPr>
              <w:t>Biogas at rural farms using kerosene</w:t>
            </w:r>
          </w:p>
        </w:tc>
      </w:tr>
      <w:tr w:rsidR="009A3DAF" w14:paraId="202FC366"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64"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65" w14:textId="62F1D5E5" w:rsidR="009A3DAF" w:rsidRDefault="009A3DAF" w:rsidP="009A3DAF">
            <w:pPr>
              <w:spacing w:after="0"/>
              <w:rPr>
                <w:color w:val="002060"/>
              </w:rPr>
            </w:pPr>
            <w:r>
              <w:rPr>
                <w:color w:val="002060"/>
              </w:rPr>
              <w:t>Biogas at rural farms using non-renewable fuelwood</w:t>
            </w:r>
          </w:p>
        </w:tc>
      </w:tr>
      <w:tr w:rsidR="009A3DAF" w14:paraId="202FC369" w14:textId="77777777" w:rsidTr="001B1B12">
        <w:trPr>
          <w:trHeight w:val="285"/>
        </w:trPr>
        <w:tc>
          <w:tcPr>
            <w:tcW w:w="3000" w:type="dxa"/>
            <w:tcBorders>
              <w:top w:val="nil"/>
              <w:left w:val="single" w:sz="4" w:space="0" w:color="305496"/>
              <w:bottom w:val="nil"/>
              <w:right w:val="single" w:sz="4" w:space="0" w:color="000000"/>
            </w:tcBorders>
            <w:shd w:val="clear" w:color="auto" w:fill="auto"/>
            <w:vAlign w:val="bottom"/>
          </w:tcPr>
          <w:p w14:paraId="202FC367"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68" w14:textId="251DA4C2" w:rsidR="009A3DAF" w:rsidRDefault="009A3DAF" w:rsidP="009A3DAF">
            <w:pPr>
              <w:spacing w:after="0"/>
              <w:rPr>
                <w:color w:val="002060"/>
              </w:rPr>
            </w:pPr>
            <w:r>
              <w:rPr>
                <w:color w:val="002060"/>
              </w:rPr>
              <w:t>Biogas at big farms</w:t>
            </w:r>
          </w:p>
        </w:tc>
      </w:tr>
      <w:tr w:rsidR="009A3DAF" w14:paraId="202FC36C"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auto"/>
            <w:vAlign w:val="bottom"/>
          </w:tcPr>
          <w:p w14:paraId="202FC36A"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6B" w14:textId="120F139F" w:rsidR="009A3DAF" w:rsidRDefault="009A3DAF" w:rsidP="009A3DAF">
            <w:pPr>
              <w:spacing w:after="0"/>
              <w:rPr>
                <w:color w:val="002060"/>
              </w:rPr>
            </w:pPr>
            <w:r>
              <w:rPr>
                <w:color w:val="002060"/>
              </w:rPr>
              <w:t xml:space="preserve">Biogas from industrial wastewater </w:t>
            </w:r>
          </w:p>
        </w:tc>
      </w:tr>
      <w:tr w:rsidR="009A3DAF" w14:paraId="202FC36F"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36D" w14:textId="77777777" w:rsidR="009A3DAF" w:rsidRDefault="009A3DAF" w:rsidP="009A3DAF">
            <w:pPr>
              <w:spacing w:after="0"/>
              <w:rPr>
                <w:b/>
                <w:sz w:val="20"/>
                <w:szCs w:val="20"/>
              </w:rPr>
            </w:pPr>
            <w:r>
              <w:rPr>
                <w:b/>
                <w:sz w:val="20"/>
                <w:szCs w:val="20"/>
              </w:rPr>
              <w:t>N</w:t>
            </w:r>
            <w:r w:rsidRPr="00686327">
              <w:rPr>
                <w:b/>
                <w:sz w:val="20"/>
                <w:szCs w:val="20"/>
                <w:vertAlign w:val="subscript"/>
              </w:rPr>
              <w:t>2</w:t>
            </w:r>
            <w:r>
              <w:rPr>
                <w:b/>
                <w:sz w:val="20"/>
                <w:szCs w:val="20"/>
              </w:rPr>
              <w:t>O</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6E" w14:textId="613BD512" w:rsidR="009A3DAF" w:rsidRDefault="009A3DAF" w:rsidP="009A3DAF">
            <w:pPr>
              <w:spacing w:after="0"/>
              <w:rPr>
                <w:color w:val="002060"/>
              </w:rPr>
            </w:pPr>
            <w:r>
              <w:rPr>
                <w:color w:val="002060"/>
              </w:rPr>
              <w:t>Nitric acid plant (N</w:t>
            </w:r>
            <w:r w:rsidRPr="00686327">
              <w:rPr>
                <w:color w:val="002060"/>
                <w:vertAlign w:val="subscript"/>
              </w:rPr>
              <w:t>2</w:t>
            </w:r>
            <w:r>
              <w:rPr>
                <w:color w:val="002060"/>
              </w:rPr>
              <w:t>O destruction)</w:t>
            </w:r>
          </w:p>
        </w:tc>
      </w:tr>
      <w:tr w:rsidR="00AD7A91" w14:paraId="44ABF611"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1AC3AD6A" w14:textId="77777777" w:rsidR="00AD7A91" w:rsidRDefault="00AD7A91" w:rsidP="009A3DAF">
            <w:pPr>
              <w:spacing w:after="0"/>
              <w:rPr>
                <w:b/>
                <w:sz w:val="20"/>
                <w:szCs w:val="20"/>
              </w:rPr>
            </w:pP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E08DC7" w14:textId="4E961FE4" w:rsidR="00AD7A91" w:rsidRDefault="00AD7A91" w:rsidP="009A3DAF">
            <w:pPr>
              <w:spacing w:after="0"/>
              <w:rPr>
                <w:color w:val="002060"/>
              </w:rPr>
            </w:pPr>
            <w:r w:rsidRPr="00AD7A91">
              <w:rPr>
                <w:color w:val="002060"/>
              </w:rPr>
              <w:t>PV pump replacing electric pump</w:t>
            </w:r>
          </w:p>
        </w:tc>
      </w:tr>
      <w:tr w:rsidR="00AD7A91" w14:paraId="76271E55"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54F01317" w14:textId="77777777" w:rsidR="00AD7A91" w:rsidRDefault="00AD7A91" w:rsidP="009A3DAF">
            <w:pPr>
              <w:spacing w:after="0"/>
              <w:rPr>
                <w:b/>
                <w:sz w:val="20"/>
                <w:szCs w:val="20"/>
              </w:rPr>
            </w:pP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92EDA" w14:textId="2E24D11D" w:rsidR="00AD7A91" w:rsidRDefault="00E61245" w:rsidP="009A3DAF">
            <w:pPr>
              <w:spacing w:after="0"/>
              <w:rPr>
                <w:color w:val="002060"/>
              </w:rPr>
            </w:pPr>
            <w:r w:rsidRPr="00E61245">
              <w:rPr>
                <w:color w:val="002060"/>
              </w:rPr>
              <w:t>PV pump replacing diesel pump</w:t>
            </w:r>
          </w:p>
        </w:tc>
      </w:tr>
      <w:tr w:rsidR="009A3DAF" w14:paraId="202FC372"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70" w14:textId="77777777" w:rsidR="009A3DAF" w:rsidRDefault="009A3DAF" w:rsidP="009A3DAF">
            <w:pPr>
              <w:spacing w:after="0"/>
              <w:rPr>
                <w:b/>
                <w:sz w:val="20"/>
                <w:szCs w:val="20"/>
              </w:rPr>
            </w:pPr>
            <w:r>
              <w:rPr>
                <w:b/>
                <w:sz w:val="20"/>
                <w:szCs w:val="20"/>
              </w:rPr>
              <w:t>Solar</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71" w14:textId="2E3D2E7B" w:rsidR="009A3DAF" w:rsidRDefault="009A3DAF" w:rsidP="009A3DAF">
            <w:pPr>
              <w:spacing w:after="0"/>
              <w:rPr>
                <w:color w:val="002060"/>
              </w:rPr>
            </w:pPr>
            <w:r>
              <w:rPr>
                <w:color w:val="002060"/>
              </w:rPr>
              <w:t>Solar water heater, residential</w:t>
            </w:r>
          </w:p>
        </w:tc>
      </w:tr>
      <w:tr w:rsidR="009A3DAF" w14:paraId="202FC375"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73"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74" w14:textId="622ACF02" w:rsidR="009A3DAF" w:rsidRDefault="009A3DAF" w:rsidP="009A3DAF">
            <w:pPr>
              <w:spacing w:after="0"/>
              <w:rPr>
                <w:color w:val="002060"/>
              </w:rPr>
            </w:pPr>
            <w:r>
              <w:rPr>
                <w:color w:val="002060"/>
              </w:rPr>
              <w:t>Solar water heater, large</w:t>
            </w:r>
          </w:p>
        </w:tc>
      </w:tr>
      <w:tr w:rsidR="009A3DAF" w14:paraId="202FC378"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76"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77" w14:textId="067AAD9F" w:rsidR="009A3DAF" w:rsidRDefault="009A3DAF" w:rsidP="009A3DAF">
            <w:pPr>
              <w:spacing w:after="0"/>
              <w:rPr>
                <w:color w:val="002060"/>
              </w:rPr>
            </w:pPr>
            <w:r>
              <w:rPr>
                <w:color w:val="002060"/>
              </w:rPr>
              <w:t>Solar PVs, large grid</w:t>
            </w:r>
          </w:p>
        </w:tc>
      </w:tr>
      <w:tr w:rsidR="009A3DAF" w14:paraId="202FC37B"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79"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7A" w14:textId="1E8C948B" w:rsidR="009A3DAF" w:rsidRDefault="009A3DAF" w:rsidP="009A3DAF">
            <w:pPr>
              <w:spacing w:after="0"/>
              <w:rPr>
                <w:color w:val="002060"/>
              </w:rPr>
            </w:pPr>
            <w:r>
              <w:rPr>
                <w:color w:val="002060"/>
              </w:rPr>
              <w:t>Solar PVs, large grid with 24h storage</w:t>
            </w:r>
          </w:p>
        </w:tc>
      </w:tr>
      <w:tr w:rsidR="009A3DAF" w14:paraId="202FC37E"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7C"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7D" w14:textId="218FE6D2" w:rsidR="009A3DAF" w:rsidRDefault="009A3DAF" w:rsidP="009A3DAF">
            <w:pPr>
              <w:spacing w:after="0"/>
              <w:rPr>
                <w:color w:val="002060"/>
              </w:rPr>
            </w:pPr>
            <w:r>
              <w:rPr>
                <w:color w:val="002060"/>
              </w:rPr>
              <w:t>Solar house PVs</w:t>
            </w:r>
          </w:p>
        </w:tc>
      </w:tr>
      <w:tr w:rsidR="009A3DAF" w14:paraId="202FC381"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7F"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80" w14:textId="3D7D768B" w:rsidR="009A3DAF" w:rsidRDefault="009A3DAF" w:rsidP="009A3DAF">
            <w:pPr>
              <w:spacing w:after="0"/>
              <w:rPr>
                <w:color w:val="002060"/>
              </w:rPr>
            </w:pPr>
            <w:r>
              <w:rPr>
                <w:color w:val="002060"/>
              </w:rPr>
              <w:t>Solar cottage PVs</w:t>
            </w:r>
          </w:p>
        </w:tc>
      </w:tr>
      <w:tr w:rsidR="009A3DAF" w14:paraId="202FC384"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82"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83" w14:textId="65E6A6A4" w:rsidR="009A3DAF" w:rsidRDefault="009A3DAF" w:rsidP="009A3DAF">
            <w:pPr>
              <w:spacing w:after="0"/>
              <w:rPr>
                <w:color w:val="002060"/>
              </w:rPr>
            </w:pPr>
            <w:r>
              <w:rPr>
                <w:color w:val="002060"/>
              </w:rPr>
              <w:t>Solar/diesel mini grid</w:t>
            </w:r>
          </w:p>
        </w:tc>
      </w:tr>
      <w:tr w:rsidR="009A3DAF" w14:paraId="202FC387"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85"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86" w14:textId="2ABD8737" w:rsidR="009A3DAF" w:rsidRDefault="009A3DAF" w:rsidP="009A3DAF">
            <w:pPr>
              <w:spacing w:after="0"/>
              <w:rPr>
                <w:color w:val="002060"/>
              </w:rPr>
            </w:pPr>
            <w:r>
              <w:rPr>
                <w:color w:val="002060"/>
              </w:rPr>
              <w:t>Solar LED lamps</w:t>
            </w:r>
          </w:p>
        </w:tc>
      </w:tr>
      <w:tr w:rsidR="009A3DAF" w14:paraId="202FC38A"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88" w14:textId="77777777" w:rsidR="009A3DAF" w:rsidRDefault="009A3DAF" w:rsidP="009A3DAF">
            <w:pPr>
              <w:spacing w:after="0"/>
              <w:rPr>
                <w:sz w:val="20"/>
                <w:szCs w:val="20"/>
              </w:rPr>
            </w:pPr>
            <w:r>
              <w:rPr>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89" w14:textId="480A2057" w:rsidR="009A3DAF" w:rsidRDefault="009A3DAF" w:rsidP="009A3DAF">
            <w:pPr>
              <w:spacing w:after="0"/>
              <w:rPr>
                <w:color w:val="002060"/>
              </w:rPr>
            </w:pPr>
            <w:r>
              <w:rPr>
                <w:color w:val="002060"/>
              </w:rPr>
              <w:t xml:space="preserve">Solar PVs, </w:t>
            </w:r>
            <w:proofErr w:type="gramStart"/>
            <w:r>
              <w:rPr>
                <w:color w:val="002060"/>
              </w:rPr>
              <w:t>small isolated</w:t>
            </w:r>
            <w:proofErr w:type="gramEnd"/>
            <w:r>
              <w:rPr>
                <w:color w:val="002060"/>
              </w:rPr>
              <w:t xml:space="preserve"> grid, 100% solar</w:t>
            </w:r>
          </w:p>
        </w:tc>
      </w:tr>
      <w:tr w:rsidR="009A3DAF" w14:paraId="202FC38D"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8B" w14:textId="77777777" w:rsidR="009A3DAF" w:rsidRDefault="009A3DAF" w:rsidP="009A3DAF">
            <w:pPr>
              <w:spacing w:after="0"/>
              <w:rPr>
                <w:sz w:val="20"/>
                <w:szCs w:val="20"/>
              </w:rPr>
            </w:pPr>
            <w:r>
              <w:rPr>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8C" w14:textId="34ADBF61" w:rsidR="009A3DAF" w:rsidRDefault="009A3DAF" w:rsidP="009A3DAF">
            <w:pPr>
              <w:spacing w:after="0"/>
              <w:rPr>
                <w:color w:val="002060"/>
              </w:rPr>
            </w:pPr>
            <w:r>
              <w:rPr>
                <w:color w:val="002060"/>
              </w:rPr>
              <w:t>Solar streetlights</w:t>
            </w:r>
          </w:p>
        </w:tc>
      </w:tr>
      <w:tr w:rsidR="009A3DAF" w:rsidRPr="009B0A76" w14:paraId="202FC390" w14:textId="77777777" w:rsidTr="001B1B12">
        <w:trPr>
          <w:trHeight w:val="285"/>
        </w:trPr>
        <w:tc>
          <w:tcPr>
            <w:tcW w:w="3000" w:type="dxa"/>
            <w:tcBorders>
              <w:top w:val="nil"/>
              <w:left w:val="single" w:sz="4" w:space="0" w:color="305496"/>
              <w:bottom w:val="nil"/>
              <w:right w:val="single" w:sz="4" w:space="0" w:color="000000"/>
            </w:tcBorders>
            <w:shd w:val="clear" w:color="auto" w:fill="auto"/>
            <w:vAlign w:val="bottom"/>
          </w:tcPr>
          <w:p w14:paraId="202FC38E" w14:textId="77777777" w:rsidR="009A3DAF" w:rsidRDefault="009A3DAF" w:rsidP="009A3DAF">
            <w:pPr>
              <w:spacing w:after="0"/>
              <w:rPr>
                <w:sz w:val="20"/>
                <w:szCs w:val="20"/>
              </w:rPr>
            </w:pPr>
            <w:r>
              <w:rPr>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8F" w14:textId="287EBACD" w:rsidR="009A3DAF" w:rsidRPr="009B0A76" w:rsidRDefault="009A3DAF" w:rsidP="009A3DAF">
            <w:pPr>
              <w:spacing w:after="0"/>
              <w:rPr>
                <w:color w:val="002060"/>
                <w:lang w:val="en-US"/>
              </w:rPr>
            </w:pPr>
            <w:r>
              <w:rPr>
                <w:color w:val="002060"/>
              </w:rPr>
              <w:t>Parabolic through CSP, no storage</w:t>
            </w:r>
          </w:p>
        </w:tc>
      </w:tr>
      <w:tr w:rsidR="009A3DAF" w:rsidRPr="009B0A76" w14:paraId="202FC393"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auto"/>
            <w:vAlign w:val="bottom"/>
          </w:tcPr>
          <w:p w14:paraId="202FC391" w14:textId="77777777" w:rsidR="009A3DAF" w:rsidRPr="009B0A76" w:rsidRDefault="009A3DAF" w:rsidP="009A3DAF">
            <w:pPr>
              <w:spacing w:after="0"/>
              <w:rPr>
                <w:sz w:val="20"/>
                <w:szCs w:val="20"/>
                <w:lang w:val="en-US"/>
              </w:rPr>
            </w:pPr>
            <w:r w:rsidRPr="009B0A76">
              <w:rPr>
                <w:sz w:val="20"/>
                <w:szCs w:val="20"/>
                <w:lang w:val="en-US"/>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FC392" w14:textId="0FD5C07C" w:rsidR="009A3DAF" w:rsidRPr="009B0A76" w:rsidRDefault="009A3DAF" w:rsidP="009A3DAF">
            <w:pPr>
              <w:spacing w:after="0"/>
              <w:rPr>
                <w:color w:val="002060"/>
                <w:lang w:val="en-US"/>
              </w:rPr>
            </w:pPr>
            <w:r>
              <w:rPr>
                <w:color w:val="002060"/>
              </w:rPr>
              <w:t>Solar tower CSP, with storage</w:t>
            </w:r>
          </w:p>
        </w:tc>
      </w:tr>
      <w:tr w:rsidR="009A3DAF" w:rsidRPr="009B0A76" w14:paraId="202FC396"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94" w14:textId="77777777" w:rsidR="009A3DAF" w:rsidRDefault="009A3DAF" w:rsidP="009A3DAF">
            <w:pPr>
              <w:spacing w:after="0"/>
              <w:rPr>
                <w:b/>
                <w:sz w:val="20"/>
                <w:szCs w:val="20"/>
              </w:rPr>
            </w:pPr>
            <w:r>
              <w:rPr>
                <w:b/>
                <w:sz w:val="20"/>
                <w:szCs w:val="20"/>
              </w:rPr>
              <w:t>Transport</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95" w14:textId="16016287" w:rsidR="009A3DAF" w:rsidRPr="009B0A76" w:rsidRDefault="009A3DAF" w:rsidP="009A3DAF">
            <w:pPr>
              <w:spacing w:after="0"/>
              <w:rPr>
                <w:color w:val="002060"/>
                <w:lang w:val="de-DE"/>
              </w:rPr>
            </w:pPr>
            <w:r w:rsidRPr="00A731EB">
              <w:rPr>
                <w:color w:val="002060"/>
                <w:lang w:val="de-DE"/>
              </w:rPr>
              <w:t xml:space="preserve">10% Biodiesel </w:t>
            </w:r>
            <w:proofErr w:type="spellStart"/>
            <w:r w:rsidRPr="00A731EB">
              <w:rPr>
                <w:color w:val="002060"/>
                <w:lang w:val="de-DE"/>
              </w:rPr>
              <w:t>blend</w:t>
            </w:r>
            <w:proofErr w:type="spellEnd"/>
            <w:r w:rsidRPr="00A731EB">
              <w:rPr>
                <w:color w:val="002060"/>
                <w:lang w:val="de-DE"/>
              </w:rPr>
              <w:t xml:space="preserve"> in </w:t>
            </w:r>
            <w:proofErr w:type="gramStart"/>
            <w:r w:rsidRPr="00A731EB">
              <w:rPr>
                <w:color w:val="002060"/>
                <w:lang w:val="de-DE"/>
              </w:rPr>
              <w:t xml:space="preserve">all  </w:t>
            </w:r>
            <w:proofErr w:type="spellStart"/>
            <w:r w:rsidRPr="00A731EB">
              <w:rPr>
                <w:color w:val="002060"/>
                <w:lang w:val="de-DE"/>
              </w:rPr>
              <w:t>diesel</w:t>
            </w:r>
            <w:proofErr w:type="spellEnd"/>
            <w:proofErr w:type="gramEnd"/>
          </w:p>
        </w:tc>
      </w:tr>
      <w:tr w:rsidR="009A3DAF" w14:paraId="202FC399"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97" w14:textId="77777777" w:rsidR="009A3DAF" w:rsidRPr="009B0A76" w:rsidRDefault="009A3DAF" w:rsidP="009A3DAF">
            <w:pPr>
              <w:spacing w:after="0"/>
              <w:rPr>
                <w:b/>
                <w:sz w:val="20"/>
                <w:szCs w:val="20"/>
                <w:lang w:val="de-DE"/>
              </w:rPr>
            </w:pPr>
            <w:r w:rsidRPr="009B0A76">
              <w:rPr>
                <w:b/>
                <w:sz w:val="20"/>
                <w:szCs w:val="20"/>
                <w:lang w:val="de-DE"/>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98" w14:textId="48253696" w:rsidR="009A3DAF" w:rsidRDefault="009A3DAF" w:rsidP="009A3DAF">
            <w:pPr>
              <w:spacing w:after="0"/>
              <w:rPr>
                <w:color w:val="002060"/>
              </w:rPr>
            </w:pPr>
            <w:r>
              <w:rPr>
                <w:color w:val="002060"/>
              </w:rPr>
              <w:t>15% Bioethanol blend in all gasoline</w:t>
            </w:r>
          </w:p>
        </w:tc>
      </w:tr>
      <w:tr w:rsidR="009A3DAF" w14:paraId="202FC39C"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9A"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9B" w14:textId="1D377BA8" w:rsidR="009A3DAF" w:rsidRDefault="009A3DAF" w:rsidP="009A3DAF">
            <w:pPr>
              <w:spacing w:after="0"/>
              <w:rPr>
                <w:color w:val="002060"/>
              </w:rPr>
            </w:pPr>
            <w:r>
              <w:rPr>
                <w:color w:val="002060"/>
              </w:rPr>
              <w:t>Bus Rapid Transit (BRT)</w:t>
            </w:r>
          </w:p>
        </w:tc>
      </w:tr>
      <w:tr w:rsidR="009A3DAF" w14:paraId="202FC39F"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9D"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9E" w14:textId="45C2DA65" w:rsidR="009A3DAF" w:rsidRDefault="009A3DAF" w:rsidP="009A3DAF">
            <w:pPr>
              <w:spacing w:after="0"/>
              <w:rPr>
                <w:color w:val="002060"/>
              </w:rPr>
            </w:pPr>
            <w:r>
              <w:rPr>
                <w:color w:val="002060"/>
              </w:rPr>
              <w:t>More efficient gasoline cars</w:t>
            </w:r>
          </w:p>
        </w:tc>
      </w:tr>
      <w:tr w:rsidR="009A3DAF" w14:paraId="202FC3A2"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A0"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A1" w14:textId="61B173F1" w:rsidR="009A3DAF" w:rsidRDefault="009A3DAF" w:rsidP="009A3DAF">
            <w:pPr>
              <w:spacing w:after="0"/>
              <w:rPr>
                <w:color w:val="002060"/>
              </w:rPr>
            </w:pPr>
            <w:r>
              <w:rPr>
                <w:color w:val="002060"/>
              </w:rPr>
              <w:t>More efficient diesel cars</w:t>
            </w:r>
          </w:p>
        </w:tc>
      </w:tr>
      <w:tr w:rsidR="009A3DAF" w14:paraId="202FC3A5"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A3"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A4" w14:textId="43DB1339" w:rsidR="009A3DAF" w:rsidRDefault="009A3DAF" w:rsidP="009A3DAF">
            <w:pPr>
              <w:spacing w:after="0"/>
              <w:rPr>
                <w:color w:val="002060"/>
              </w:rPr>
            </w:pPr>
            <w:r>
              <w:rPr>
                <w:color w:val="002060"/>
              </w:rPr>
              <w:t>Natural Gas cars</w:t>
            </w:r>
          </w:p>
        </w:tc>
      </w:tr>
      <w:tr w:rsidR="009A3DAF" w14:paraId="202FC3A8"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A6"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A7" w14:textId="51C1F4C5" w:rsidR="009A3DAF" w:rsidRDefault="009A3DAF" w:rsidP="009A3DAF">
            <w:pPr>
              <w:spacing w:after="0"/>
              <w:rPr>
                <w:color w:val="002060"/>
              </w:rPr>
            </w:pPr>
            <w:r>
              <w:rPr>
                <w:color w:val="002060"/>
              </w:rPr>
              <w:t>Electric cars</w:t>
            </w:r>
          </w:p>
        </w:tc>
      </w:tr>
      <w:tr w:rsidR="009A3DAF" w14:paraId="202FC3AB"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A9"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AA" w14:textId="32803906" w:rsidR="009A3DAF" w:rsidRDefault="009A3DAF" w:rsidP="009A3DAF">
            <w:pPr>
              <w:spacing w:after="0"/>
              <w:rPr>
                <w:color w:val="002060"/>
              </w:rPr>
            </w:pPr>
            <w:r>
              <w:rPr>
                <w:color w:val="002060"/>
              </w:rPr>
              <w:t>Electric 18m buses</w:t>
            </w:r>
          </w:p>
        </w:tc>
      </w:tr>
      <w:tr w:rsidR="009A3DAF" w14:paraId="202FC3AE"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AC"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AD" w14:textId="4E4BB526" w:rsidR="009A3DAF" w:rsidRDefault="009A3DAF" w:rsidP="009A3DAF">
            <w:pPr>
              <w:spacing w:after="0"/>
              <w:rPr>
                <w:color w:val="002060"/>
              </w:rPr>
            </w:pPr>
            <w:r>
              <w:rPr>
                <w:color w:val="002060"/>
              </w:rPr>
              <w:t>Electric 12m buses</w:t>
            </w:r>
          </w:p>
        </w:tc>
      </w:tr>
      <w:tr w:rsidR="009A3DAF" w14:paraId="202FC3B1"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AF"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B0" w14:textId="1954361A" w:rsidR="009A3DAF" w:rsidRDefault="009A3DAF" w:rsidP="009A3DAF">
            <w:pPr>
              <w:spacing w:after="0"/>
              <w:rPr>
                <w:color w:val="002060"/>
              </w:rPr>
            </w:pPr>
            <w:r>
              <w:rPr>
                <w:color w:val="002060"/>
              </w:rPr>
              <w:t>Electric heavy trucks</w:t>
            </w:r>
          </w:p>
        </w:tc>
      </w:tr>
      <w:tr w:rsidR="009A3DAF" w14:paraId="202FC3B4"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B2"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B3" w14:textId="3FE08C1D" w:rsidR="009A3DAF" w:rsidRDefault="009A3DAF" w:rsidP="009A3DAF">
            <w:pPr>
              <w:spacing w:after="0"/>
              <w:rPr>
                <w:color w:val="002060"/>
              </w:rPr>
            </w:pPr>
            <w:r>
              <w:rPr>
                <w:color w:val="002060"/>
              </w:rPr>
              <w:t>Electric light trucks</w:t>
            </w:r>
          </w:p>
        </w:tc>
      </w:tr>
      <w:tr w:rsidR="009A3DAF" w14:paraId="202FC3B7"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B5"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B6" w14:textId="5FF1D03C" w:rsidR="009A3DAF" w:rsidRDefault="009A3DAF" w:rsidP="009A3DAF">
            <w:pPr>
              <w:spacing w:after="0"/>
              <w:rPr>
                <w:color w:val="002060"/>
              </w:rPr>
            </w:pPr>
            <w:r>
              <w:rPr>
                <w:color w:val="002060"/>
              </w:rPr>
              <w:t xml:space="preserve">Electric rail </w:t>
            </w:r>
          </w:p>
        </w:tc>
      </w:tr>
      <w:tr w:rsidR="009A3DAF" w14:paraId="202FC3BA"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B8" w14:textId="77777777" w:rsidR="009A3DAF" w:rsidRDefault="009A3DAF" w:rsidP="009A3DAF">
            <w:pPr>
              <w:spacing w:after="0"/>
              <w:rPr>
                <w:b/>
                <w:sz w:val="20"/>
                <w:szCs w:val="20"/>
              </w:rPr>
            </w:pPr>
            <w:r>
              <w:rPr>
                <w:b/>
                <w:sz w:val="20"/>
                <w:szCs w:val="20"/>
              </w:rPr>
              <w:lastRenderedPageBreak/>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B9" w14:textId="3F86BA8E" w:rsidR="009A3DAF" w:rsidRDefault="009A3DAF" w:rsidP="009A3DAF">
            <w:pPr>
              <w:spacing w:after="0"/>
              <w:rPr>
                <w:color w:val="002060"/>
              </w:rPr>
            </w:pPr>
            <w:r>
              <w:rPr>
                <w:color w:val="002060"/>
              </w:rPr>
              <w:t xml:space="preserve">Shifting passengers from car to rail (1Mill. Person-km/day) </w:t>
            </w:r>
          </w:p>
        </w:tc>
      </w:tr>
      <w:tr w:rsidR="009A3DAF" w14:paraId="202FC3BD"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BB"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BC" w14:textId="23A04400" w:rsidR="009A3DAF" w:rsidRDefault="009A3DAF" w:rsidP="009A3DAF">
            <w:pPr>
              <w:spacing w:after="0"/>
              <w:rPr>
                <w:color w:val="002060"/>
              </w:rPr>
            </w:pPr>
            <w:r>
              <w:rPr>
                <w:color w:val="002060"/>
              </w:rPr>
              <w:t>Shifting freight transport from road to rail (1000 tonne-km/day)</w:t>
            </w:r>
          </w:p>
        </w:tc>
      </w:tr>
      <w:tr w:rsidR="009A3DAF" w14:paraId="202FC3C0"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BE"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BF" w14:textId="588B42AA" w:rsidR="009A3DAF" w:rsidRDefault="009A3DAF" w:rsidP="009A3DAF">
            <w:pPr>
              <w:spacing w:after="0"/>
              <w:rPr>
                <w:color w:val="002060"/>
              </w:rPr>
            </w:pPr>
            <w:r>
              <w:rPr>
                <w:color w:val="002060"/>
              </w:rPr>
              <w:t>Restriction on import of used cars</w:t>
            </w:r>
          </w:p>
        </w:tc>
      </w:tr>
      <w:tr w:rsidR="009A3DAF" w14:paraId="202FC3C3"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C1"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C2" w14:textId="3BC334A2" w:rsidR="009A3DAF" w:rsidRDefault="009A3DAF" w:rsidP="009A3DAF">
            <w:pPr>
              <w:spacing w:after="0"/>
              <w:rPr>
                <w:color w:val="002060"/>
              </w:rPr>
            </w:pPr>
            <w:r>
              <w:rPr>
                <w:color w:val="002060"/>
              </w:rPr>
              <w:t>New bicycle lanes</w:t>
            </w:r>
          </w:p>
        </w:tc>
      </w:tr>
      <w:tr w:rsidR="009A3DAF" w14:paraId="202FC3C6" w14:textId="77777777">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C4"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C5" w14:textId="4FF4CD02" w:rsidR="009A3DAF" w:rsidRDefault="009A3DAF" w:rsidP="009A3DAF">
            <w:pPr>
              <w:spacing w:after="0"/>
              <w:rPr>
                <w:color w:val="002060"/>
              </w:rPr>
            </w:pPr>
            <w:r>
              <w:rPr>
                <w:color w:val="002060"/>
              </w:rPr>
              <w:t>Electric three-wheelers</w:t>
            </w:r>
          </w:p>
        </w:tc>
      </w:tr>
      <w:tr w:rsidR="009A3DAF" w14:paraId="202FC3C9" w14:textId="77777777" w:rsidTr="001B1B12">
        <w:trPr>
          <w:trHeight w:val="285"/>
        </w:trPr>
        <w:tc>
          <w:tcPr>
            <w:tcW w:w="3000" w:type="dxa"/>
            <w:tcBorders>
              <w:top w:val="nil"/>
              <w:left w:val="single" w:sz="4" w:space="0" w:color="305496"/>
              <w:bottom w:val="nil"/>
              <w:right w:val="single" w:sz="4" w:space="0" w:color="000000"/>
            </w:tcBorders>
            <w:shd w:val="clear" w:color="auto" w:fill="C9C9C9"/>
            <w:vAlign w:val="bottom"/>
          </w:tcPr>
          <w:p w14:paraId="202FC3C7"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C8" w14:textId="573B196F" w:rsidR="009A3DAF" w:rsidRDefault="009A3DAF" w:rsidP="009A3DAF">
            <w:pPr>
              <w:spacing w:after="0"/>
              <w:rPr>
                <w:color w:val="002060"/>
              </w:rPr>
            </w:pPr>
            <w:r>
              <w:rPr>
                <w:color w:val="002060"/>
              </w:rPr>
              <w:t>Electric two-wheelers</w:t>
            </w:r>
          </w:p>
        </w:tc>
      </w:tr>
      <w:tr w:rsidR="009A3DAF" w14:paraId="202FC3CC"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C9C9C9"/>
            <w:vAlign w:val="bottom"/>
          </w:tcPr>
          <w:p w14:paraId="202FC3CA"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C9C9C9"/>
            <w:vAlign w:val="bottom"/>
          </w:tcPr>
          <w:p w14:paraId="202FC3CB" w14:textId="1D29319E" w:rsidR="009A3DAF" w:rsidRDefault="009A3DAF" w:rsidP="009A3DAF">
            <w:pPr>
              <w:spacing w:after="0"/>
              <w:rPr>
                <w:color w:val="002060"/>
              </w:rPr>
            </w:pPr>
            <w:r>
              <w:rPr>
                <w:color w:val="002060"/>
              </w:rPr>
              <w:t>Better maintenance and use of motor bikes</w:t>
            </w:r>
          </w:p>
        </w:tc>
      </w:tr>
      <w:tr w:rsidR="009A3DAF" w14:paraId="202FC3CF" w14:textId="77777777">
        <w:trPr>
          <w:trHeight w:val="285"/>
        </w:trPr>
        <w:tc>
          <w:tcPr>
            <w:tcW w:w="3000" w:type="dxa"/>
            <w:tcBorders>
              <w:top w:val="nil"/>
              <w:left w:val="single" w:sz="4" w:space="0" w:color="305496"/>
              <w:bottom w:val="nil"/>
              <w:right w:val="single" w:sz="4" w:space="0" w:color="000000"/>
            </w:tcBorders>
            <w:shd w:val="clear" w:color="auto" w:fill="auto"/>
            <w:vAlign w:val="bottom"/>
          </w:tcPr>
          <w:p w14:paraId="202FC3CD" w14:textId="77777777" w:rsidR="009A3DAF" w:rsidRDefault="009A3DAF" w:rsidP="009A3DAF">
            <w:pPr>
              <w:spacing w:after="0"/>
              <w:rPr>
                <w:b/>
                <w:sz w:val="20"/>
                <w:szCs w:val="20"/>
              </w:rPr>
            </w:pPr>
            <w:r>
              <w:rPr>
                <w:b/>
                <w:sz w:val="20"/>
                <w:szCs w:val="20"/>
              </w:rPr>
              <w:t>Wind</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3CE" w14:textId="3FB8C78A" w:rsidR="009A3DAF" w:rsidRDefault="009A3DAF" w:rsidP="009A3DAF">
            <w:pPr>
              <w:spacing w:after="0"/>
              <w:rPr>
                <w:color w:val="002060"/>
              </w:rPr>
            </w:pPr>
            <w:r>
              <w:rPr>
                <w:color w:val="002060"/>
              </w:rPr>
              <w:t>Wind turbines, onshore</w:t>
            </w:r>
          </w:p>
        </w:tc>
      </w:tr>
      <w:tr w:rsidR="009A3DAF" w14:paraId="202FC3D2" w14:textId="77777777" w:rsidTr="001B1B12">
        <w:trPr>
          <w:trHeight w:val="285"/>
        </w:trPr>
        <w:tc>
          <w:tcPr>
            <w:tcW w:w="3000" w:type="dxa"/>
            <w:tcBorders>
              <w:top w:val="nil"/>
              <w:left w:val="single" w:sz="4" w:space="0" w:color="305496"/>
              <w:bottom w:val="nil"/>
              <w:right w:val="single" w:sz="4" w:space="0" w:color="000000"/>
            </w:tcBorders>
            <w:shd w:val="clear" w:color="auto" w:fill="auto"/>
            <w:vAlign w:val="bottom"/>
          </w:tcPr>
          <w:p w14:paraId="202FC3D0"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3D1" w14:textId="5E91534C" w:rsidR="009A3DAF" w:rsidRDefault="009A3DAF" w:rsidP="009A3DAF">
            <w:pPr>
              <w:spacing w:after="0"/>
              <w:rPr>
                <w:color w:val="002060"/>
              </w:rPr>
            </w:pPr>
            <w:r>
              <w:rPr>
                <w:color w:val="002060"/>
              </w:rPr>
              <w:t xml:space="preserve">Wind turbines, onshore with 24 </w:t>
            </w:r>
            <w:proofErr w:type="gramStart"/>
            <w:r>
              <w:rPr>
                <w:color w:val="002060"/>
              </w:rPr>
              <w:t>storage</w:t>
            </w:r>
            <w:proofErr w:type="gramEnd"/>
          </w:p>
        </w:tc>
      </w:tr>
      <w:tr w:rsidR="009A3DAF" w14:paraId="202FC3D5" w14:textId="77777777" w:rsidTr="00F50A4D">
        <w:trPr>
          <w:trHeight w:val="285"/>
        </w:trPr>
        <w:tc>
          <w:tcPr>
            <w:tcW w:w="3000" w:type="dxa"/>
            <w:tcBorders>
              <w:top w:val="nil"/>
              <w:left w:val="single" w:sz="4" w:space="0" w:color="305496"/>
              <w:bottom w:val="single" w:sz="4" w:space="0" w:color="305496"/>
              <w:right w:val="single" w:sz="4" w:space="0" w:color="000000"/>
            </w:tcBorders>
            <w:shd w:val="clear" w:color="auto" w:fill="auto"/>
            <w:vAlign w:val="bottom"/>
          </w:tcPr>
          <w:p w14:paraId="202FC3D3" w14:textId="77777777" w:rsidR="009A3DAF" w:rsidRDefault="009A3DAF" w:rsidP="009A3DAF">
            <w:pPr>
              <w:spacing w:after="0"/>
              <w:rPr>
                <w:b/>
                <w:sz w:val="20"/>
                <w:szCs w:val="20"/>
              </w:rPr>
            </w:pPr>
            <w:r>
              <w:rPr>
                <w:b/>
                <w:sz w:val="20"/>
                <w:szCs w:val="20"/>
              </w:rPr>
              <w:t> </w:t>
            </w:r>
          </w:p>
        </w:tc>
        <w:tc>
          <w:tcPr>
            <w:tcW w:w="60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FC3D4" w14:textId="05720966" w:rsidR="009A3DAF" w:rsidRDefault="009A3DAF" w:rsidP="009A3DAF">
            <w:pPr>
              <w:spacing w:after="0"/>
              <w:rPr>
                <w:color w:val="002060"/>
              </w:rPr>
            </w:pPr>
            <w:r>
              <w:rPr>
                <w:color w:val="002060"/>
              </w:rPr>
              <w:t>Wind turbines, offshore</w:t>
            </w:r>
          </w:p>
        </w:tc>
      </w:tr>
      <w:tr w:rsidR="009A3DAF" w14:paraId="202FC3D8" w14:textId="77777777" w:rsidTr="008E2F0C">
        <w:trPr>
          <w:trHeight w:val="275"/>
        </w:trPr>
        <w:tc>
          <w:tcPr>
            <w:tcW w:w="3000" w:type="dxa"/>
            <w:tcBorders>
              <w:top w:val="nil"/>
              <w:left w:val="single" w:sz="4" w:space="0" w:color="305496"/>
              <w:bottom w:val="single" w:sz="4" w:space="0" w:color="305496"/>
              <w:right w:val="single" w:sz="4" w:space="0" w:color="305496"/>
            </w:tcBorders>
            <w:shd w:val="clear" w:color="auto" w:fill="A8D08D" w:themeFill="accent6" w:themeFillTint="99"/>
            <w:vAlign w:val="bottom"/>
          </w:tcPr>
          <w:p w14:paraId="202FC3D6" w14:textId="3D27676A" w:rsidR="009A3DAF" w:rsidRDefault="0093669C" w:rsidP="009A3DAF">
            <w:pPr>
              <w:spacing w:after="0"/>
              <w:jc w:val="center"/>
              <w:rPr>
                <w:b/>
                <w:sz w:val="20"/>
                <w:szCs w:val="20"/>
              </w:rPr>
            </w:pPr>
            <w:sdt>
              <w:sdtPr>
                <w:tag w:val="goog_rdk_6"/>
                <w:id w:val="-1113363348"/>
                <w:showingPlcHdr/>
              </w:sdtPr>
              <w:sdtEndPr/>
              <w:sdtContent>
                <w:r w:rsidR="009A3DAF">
                  <w:t xml:space="preserve">     </w:t>
                </w:r>
              </w:sdtContent>
            </w:sdt>
            <w:r w:rsidR="009A3DAF">
              <w:rPr>
                <w:b/>
                <w:sz w:val="20"/>
                <w:szCs w:val="20"/>
              </w:rPr>
              <w:t>GHG reduction options in total:</w:t>
            </w:r>
          </w:p>
        </w:tc>
        <w:tc>
          <w:tcPr>
            <w:tcW w:w="6000" w:type="dxa"/>
            <w:tcBorders>
              <w:top w:val="single" w:sz="4" w:space="0" w:color="000000"/>
              <w:left w:val="nil"/>
              <w:bottom w:val="single" w:sz="4" w:space="0" w:color="305496"/>
              <w:right w:val="single" w:sz="4" w:space="0" w:color="305496"/>
            </w:tcBorders>
            <w:shd w:val="clear" w:color="auto" w:fill="A8D08D" w:themeFill="accent6" w:themeFillTint="99"/>
            <w:vAlign w:val="bottom"/>
          </w:tcPr>
          <w:p w14:paraId="202FC3D7" w14:textId="02DF41D6" w:rsidR="009A3DAF" w:rsidRDefault="009A3DAF" w:rsidP="009A3DAF">
            <w:pPr>
              <w:spacing w:after="0"/>
              <w:jc w:val="center"/>
              <w:rPr>
                <w:rFonts w:ascii="Helvetica Neue" w:eastAsia="Helvetica Neue" w:hAnsi="Helvetica Neue" w:cs="Helvetica Neue"/>
                <w:b/>
                <w:sz w:val="20"/>
                <w:szCs w:val="20"/>
              </w:rPr>
            </w:pPr>
            <w:bookmarkStart w:id="22" w:name="bookmark=id.26in1rg" w:colFirst="0" w:colLast="0"/>
            <w:bookmarkEnd w:id="22"/>
            <w:r>
              <w:rPr>
                <w:rFonts w:ascii="Helvetica Neue" w:eastAsia="Helvetica Neue" w:hAnsi="Helvetica Neue" w:cs="Helvetica Neue"/>
                <w:b/>
                <w:sz w:val="20"/>
                <w:szCs w:val="20"/>
              </w:rPr>
              <w:t>119</w:t>
            </w:r>
          </w:p>
        </w:tc>
      </w:tr>
    </w:tbl>
    <w:p w14:paraId="202FC3D9" w14:textId="77777777" w:rsidR="001838B8" w:rsidRDefault="001838B8"/>
    <w:sectPr w:rsidR="001838B8">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135AD" w14:textId="77777777" w:rsidR="00E1740B" w:rsidRDefault="00E1740B">
      <w:pPr>
        <w:spacing w:after="0" w:line="240" w:lineRule="auto"/>
      </w:pPr>
      <w:r>
        <w:separator/>
      </w:r>
    </w:p>
  </w:endnote>
  <w:endnote w:type="continuationSeparator" w:id="0">
    <w:p w14:paraId="01F73F63" w14:textId="77777777" w:rsidR="00E1740B" w:rsidRDefault="00E1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C40F" w14:textId="77777777" w:rsidR="001838B8" w:rsidRDefault="00A731E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C428C">
      <w:rPr>
        <w:noProof/>
        <w:color w:val="000000"/>
      </w:rPr>
      <w:t>1</w:t>
    </w:r>
    <w:r>
      <w:rPr>
        <w:color w:val="000000"/>
      </w:rPr>
      <w:fldChar w:fldCharType="end"/>
    </w:r>
  </w:p>
  <w:p w14:paraId="202FC410" w14:textId="77777777" w:rsidR="001838B8" w:rsidRDefault="001838B8">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14DB" w14:textId="77777777" w:rsidR="00E1740B" w:rsidRDefault="00E1740B">
      <w:pPr>
        <w:spacing w:after="0" w:line="240" w:lineRule="auto"/>
      </w:pPr>
      <w:r>
        <w:separator/>
      </w:r>
    </w:p>
  </w:footnote>
  <w:footnote w:type="continuationSeparator" w:id="0">
    <w:p w14:paraId="57155867" w14:textId="77777777" w:rsidR="00E1740B" w:rsidRDefault="00E1740B">
      <w:pPr>
        <w:spacing w:after="0" w:line="240" w:lineRule="auto"/>
      </w:pPr>
      <w:r>
        <w:continuationSeparator/>
      </w:r>
    </w:p>
  </w:footnote>
  <w:footnote w:id="1">
    <w:p w14:paraId="202FC413" w14:textId="21428902" w:rsidR="001838B8" w:rsidRDefault="00A731EB">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Jacob Ipsen Hansen</w:t>
      </w:r>
      <w:r w:rsidR="006565E8">
        <w:rPr>
          <w:color w:val="000000"/>
          <w:sz w:val="20"/>
          <w:szCs w:val="20"/>
        </w:rPr>
        <w:t xml:space="preserve"> and</w:t>
      </w:r>
      <w:r w:rsidR="006565E8" w:rsidRPr="006565E8">
        <w:t xml:space="preserve"> </w:t>
      </w:r>
      <w:r w:rsidR="006565E8" w:rsidRPr="006565E8">
        <w:rPr>
          <w:color w:val="000000"/>
          <w:sz w:val="20"/>
          <w:szCs w:val="20"/>
        </w:rPr>
        <w:t xml:space="preserve">Trupti </w:t>
      </w:r>
      <w:r w:rsidR="00D722B1" w:rsidRPr="006565E8">
        <w:rPr>
          <w:color w:val="000000"/>
          <w:sz w:val="20"/>
          <w:szCs w:val="20"/>
        </w:rPr>
        <w:t>Yargattimath</w:t>
      </w:r>
      <w:r w:rsidR="00D722B1">
        <w:rPr>
          <w:color w:val="000000"/>
          <w:sz w:val="20"/>
          <w:szCs w:val="20"/>
        </w:rPr>
        <w:t xml:space="preserve"> have</w:t>
      </w:r>
      <w:r w:rsidR="006565E8">
        <w:rPr>
          <w:color w:val="000000"/>
          <w:sz w:val="20"/>
          <w:szCs w:val="20"/>
        </w:rPr>
        <w:t xml:space="preserve"> </w:t>
      </w:r>
      <w:r>
        <w:rPr>
          <w:color w:val="000000"/>
          <w:sz w:val="20"/>
          <w:szCs w:val="20"/>
        </w:rPr>
        <w:t xml:space="preserve">been responsible for the programming and coding of the version </w:t>
      </w:r>
      <w:r w:rsidR="006565E8">
        <w:rPr>
          <w:color w:val="000000"/>
          <w:sz w:val="20"/>
          <w:szCs w:val="20"/>
        </w:rPr>
        <w:t xml:space="preserve">2.1 </w:t>
      </w:r>
      <w:r>
        <w:rPr>
          <w:color w:val="000000"/>
          <w:sz w:val="20"/>
          <w:szCs w:val="20"/>
        </w:rPr>
        <w:t xml:space="preserve">of </w:t>
      </w:r>
      <w:r w:rsidR="00AA58DD">
        <w:rPr>
          <w:color w:val="000000"/>
          <w:sz w:val="20"/>
          <w:szCs w:val="20"/>
        </w:rPr>
        <w:t xml:space="preserve">the </w:t>
      </w:r>
      <w:r>
        <w:rPr>
          <w:color w:val="000000"/>
          <w:sz w:val="20"/>
          <w:szCs w:val="20"/>
        </w:rPr>
        <w:t xml:space="preserve">GACMO </w:t>
      </w:r>
      <w:r w:rsidR="00AA58DD">
        <w:rPr>
          <w:color w:val="000000"/>
          <w:sz w:val="20"/>
          <w:szCs w:val="20"/>
        </w:rPr>
        <w:t xml:space="preserve">tool </w:t>
      </w:r>
      <w:r>
        <w:rPr>
          <w:color w:val="000000"/>
          <w:sz w:val="20"/>
          <w:szCs w:val="20"/>
        </w:rPr>
        <w:t>in Excel.</w:t>
      </w:r>
    </w:p>
  </w:footnote>
  <w:footnote w:id="2">
    <w:p w14:paraId="202FC414" w14:textId="5D6F20D5" w:rsidR="001838B8" w:rsidRDefault="00A731EB">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The GACMO tool has been developed by our colleague Jørgen Fenhann. Jørgen has worked for the UNEP Copenhagen Climate Centre for more than 40 years. The first version of the GACMO tool was developed about </w:t>
      </w:r>
      <w:r w:rsidR="00681F35">
        <w:rPr>
          <w:color w:val="000000"/>
          <w:sz w:val="20"/>
          <w:szCs w:val="20"/>
        </w:rPr>
        <w:t>twenty</w:t>
      </w:r>
      <w:r>
        <w:rPr>
          <w:color w:val="000000"/>
          <w:sz w:val="20"/>
          <w:szCs w:val="20"/>
        </w:rPr>
        <w:t xml:space="preserve"> years ago. Since then, the tool has evolved to include new mitigation options </w:t>
      </w:r>
      <w:r w:rsidR="00A22E0E">
        <w:rPr>
          <w:color w:val="000000"/>
          <w:sz w:val="20"/>
          <w:szCs w:val="20"/>
        </w:rPr>
        <w:t>and</w:t>
      </w:r>
      <w:r>
        <w:rPr>
          <w:color w:val="000000"/>
          <w:sz w:val="20"/>
          <w:szCs w:val="20"/>
        </w:rPr>
        <w:t xml:space="preserve"> to account </w:t>
      </w:r>
      <w:r w:rsidR="00A22E0E">
        <w:rPr>
          <w:color w:val="000000"/>
          <w:sz w:val="20"/>
          <w:szCs w:val="20"/>
        </w:rPr>
        <w:t xml:space="preserve">for </w:t>
      </w:r>
      <w:r>
        <w:rPr>
          <w:color w:val="000000"/>
          <w:sz w:val="20"/>
          <w:szCs w:val="20"/>
        </w:rPr>
        <w:t xml:space="preserve">the new IPCC requirements in terms of calculating GHG emission reductions. </w:t>
      </w:r>
    </w:p>
  </w:footnote>
  <w:footnote w:id="3">
    <w:p w14:paraId="202FC415" w14:textId="5C6929AC" w:rsidR="001838B8" w:rsidRDefault="00A731EB">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A recurrent question by </w:t>
      </w:r>
      <w:r w:rsidR="00B14334">
        <w:rPr>
          <w:color w:val="000000"/>
          <w:sz w:val="20"/>
          <w:szCs w:val="20"/>
        </w:rPr>
        <w:t xml:space="preserve">a </w:t>
      </w:r>
      <w:r>
        <w:rPr>
          <w:color w:val="000000"/>
          <w:sz w:val="20"/>
          <w:szCs w:val="20"/>
        </w:rPr>
        <w:t xml:space="preserve">user is </w:t>
      </w:r>
      <w:r>
        <w:rPr>
          <w:i/>
          <w:color w:val="000000"/>
          <w:sz w:val="20"/>
          <w:szCs w:val="20"/>
        </w:rPr>
        <w:t xml:space="preserve">How </w:t>
      </w:r>
      <w:r w:rsidR="00AC5072">
        <w:rPr>
          <w:i/>
          <w:color w:val="000000"/>
          <w:sz w:val="20"/>
          <w:szCs w:val="20"/>
        </w:rPr>
        <w:t>should we</w:t>
      </w:r>
      <w:r>
        <w:rPr>
          <w:i/>
          <w:color w:val="000000"/>
          <w:sz w:val="20"/>
          <w:szCs w:val="20"/>
        </w:rPr>
        <w:t xml:space="preserve"> establish the energy consumption growth factors for the future period?</w:t>
      </w:r>
      <w:r>
        <w:rPr>
          <w:color w:val="000000"/>
          <w:sz w:val="20"/>
          <w:szCs w:val="20"/>
        </w:rPr>
        <w:t xml:space="preserve"> First, those factors might have been estimated and available with specific Ministries or other stakeholders in the country. If such factors have not been established yet, they could be estimated from historical data series for the energy consumption of the categories of activity. Finally, if no data are available, they might be estimated by national experts to the best of their knowledge.</w:t>
      </w:r>
    </w:p>
  </w:footnote>
  <w:footnote w:id="4">
    <w:p w14:paraId="202FC416" w14:textId="77777777" w:rsidR="001838B8" w:rsidRDefault="00A731E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https://unepccc.org/cdm-ji-pipeline/</w:t>
        </w:r>
      </w:hyperlink>
      <w:r>
        <w:rPr>
          <w:color w:val="000000"/>
          <w:sz w:val="20"/>
          <w:szCs w:val="20"/>
        </w:rPr>
        <w:t xml:space="preserve"> </w:t>
      </w:r>
    </w:p>
  </w:footnote>
  <w:footnote w:id="5">
    <w:p w14:paraId="202FC417" w14:textId="77777777" w:rsidR="001838B8" w:rsidRDefault="00A731EB">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If a user notices that a specific mitigation option relevant to the country is not included in the GACMO tool, the user can contact UNEP Copenhagen Climate Center and we will try to include the missing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C408" w14:textId="77777777" w:rsidR="001838B8" w:rsidRDefault="001838B8">
    <w:pPr>
      <w:widowControl w:val="0"/>
      <w:pBdr>
        <w:top w:val="nil"/>
        <w:left w:val="nil"/>
        <w:bottom w:val="nil"/>
        <w:right w:val="nil"/>
        <w:between w:val="nil"/>
      </w:pBdr>
      <w:spacing w:after="0"/>
      <w:rPr>
        <w:color w:val="000000"/>
        <w:sz w:val="20"/>
        <w:szCs w:val="20"/>
      </w:rPr>
    </w:pPr>
  </w:p>
  <w:tbl>
    <w:tblPr>
      <w:tblStyle w:val="1"/>
      <w:tblW w:w="9026" w:type="dxa"/>
      <w:tblBorders>
        <w:top w:val="nil"/>
        <w:left w:val="nil"/>
        <w:bottom w:val="nil"/>
        <w:right w:val="nil"/>
        <w:insideH w:val="nil"/>
        <w:insideV w:val="nil"/>
      </w:tblBorders>
      <w:tblLayout w:type="fixed"/>
      <w:tblLook w:val="0400" w:firstRow="0" w:lastRow="0" w:firstColumn="0" w:lastColumn="0" w:noHBand="0" w:noVBand="1"/>
    </w:tblPr>
    <w:tblGrid>
      <w:gridCol w:w="3366"/>
      <w:gridCol w:w="3893"/>
      <w:gridCol w:w="1767"/>
    </w:tblGrid>
    <w:tr w:rsidR="001838B8" w14:paraId="202FC40D" w14:textId="77777777">
      <w:tc>
        <w:tcPr>
          <w:tcW w:w="3366" w:type="dxa"/>
        </w:tcPr>
        <w:p w14:paraId="202FC409" w14:textId="77777777" w:rsidR="001838B8" w:rsidRDefault="00A731EB">
          <w:pPr>
            <w:pBdr>
              <w:top w:val="nil"/>
              <w:left w:val="nil"/>
              <w:bottom w:val="nil"/>
              <w:right w:val="nil"/>
              <w:between w:val="nil"/>
            </w:pBdr>
            <w:tabs>
              <w:tab w:val="center" w:pos="4513"/>
              <w:tab w:val="right" w:pos="9026"/>
            </w:tabs>
            <w:spacing w:after="200" w:line="276" w:lineRule="auto"/>
            <w:rPr>
              <w:color w:val="000000"/>
            </w:rPr>
          </w:pPr>
          <w:r>
            <w:rPr>
              <w:noProof/>
              <w:color w:val="000000"/>
            </w:rPr>
            <w:drawing>
              <wp:inline distT="0" distB="0" distL="0" distR="0" wp14:anchorId="202FC411" wp14:editId="202FC412">
                <wp:extent cx="2010332" cy="648803"/>
                <wp:effectExtent l="0" t="0" r="0" b="0"/>
                <wp:docPr id="13491016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0332" cy="648803"/>
                        </a:xfrm>
                        <a:prstGeom prst="rect">
                          <a:avLst/>
                        </a:prstGeom>
                        <a:ln/>
                      </pic:spPr>
                    </pic:pic>
                  </a:graphicData>
                </a:graphic>
              </wp:inline>
            </w:drawing>
          </w:r>
        </w:p>
      </w:tc>
      <w:tc>
        <w:tcPr>
          <w:tcW w:w="3893" w:type="dxa"/>
        </w:tcPr>
        <w:p w14:paraId="202FC40A" w14:textId="77777777" w:rsidR="001838B8" w:rsidRDefault="001838B8">
          <w:pPr>
            <w:pBdr>
              <w:top w:val="nil"/>
              <w:left w:val="nil"/>
              <w:bottom w:val="nil"/>
              <w:right w:val="nil"/>
              <w:between w:val="nil"/>
            </w:pBdr>
            <w:tabs>
              <w:tab w:val="center" w:pos="4513"/>
              <w:tab w:val="right" w:pos="9026"/>
            </w:tabs>
            <w:spacing w:after="200" w:line="276" w:lineRule="auto"/>
            <w:rPr>
              <w:color w:val="000000"/>
            </w:rPr>
          </w:pPr>
        </w:p>
      </w:tc>
      <w:tc>
        <w:tcPr>
          <w:tcW w:w="1767" w:type="dxa"/>
        </w:tcPr>
        <w:p w14:paraId="202FC40C" w14:textId="77777777" w:rsidR="001838B8" w:rsidRDefault="001838B8">
          <w:pPr>
            <w:pBdr>
              <w:top w:val="nil"/>
              <w:left w:val="nil"/>
              <w:bottom w:val="nil"/>
              <w:right w:val="nil"/>
              <w:between w:val="nil"/>
            </w:pBdr>
            <w:tabs>
              <w:tab w:val="center" w:pos="4513"/>
              <w:tab w:val="right" w:pos="9026"/>
            </w:tabs>
            <w:spacing w:after="200" w:line="276" w:lineRule="auto"/>
            <w:rPr>
              <w:color w:val="000000"/>
            </w:rPr>
          </w:pPr>
        </w:p>
      </w:tc>
    </w:tr>
  </w:tbl>
  <w:p w14:paraId="202FC40E" w14:textId="77777777" w:rsidR="001838B8" w:rsidRDefault="001838B8" w:rsidP="00D722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61093"/>
    <w:multiLevelType w:val="hybridMultilevel"/>
    <w:tmpl w:val="12EA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E3655"/>
    <w:multiLevelType w:val="multilevel"/>
    <w:tmpl w:val="1FA08852"/>
    <w:lvl w:ilvl="0">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F35EBE"/>
    <w:multiLevelType w:val="hybridMultilevel"/>
    <w:tmpl w:val="C4F20E64"/>
    <w:lvl w:ilvl="0" w:tplc="984405A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E0B02"/>
    <w:multiLevelType w:val="hybridMultilevel"/>
    <w:tmpl w:val="947A82F8"/>
    <w:lvl w:ilvl="0" w:tplc="984405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49F4"/>
    <w:multiLevelType w:val="multilevel"/>
    <w:tmpl w:val="972AC9D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3B65C0"/>
    <w:multiLevelType w:val="multilevel"/>
    <w:tmpl w:val="958A7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1B66F0"/>
    <w:multiLevelType w:val="multilevel"/>
    <w:tmpl w:val="972AC9D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C07C7C"/>
    <w:multiLevelType w:val="multilevel"/>
    <w:tmpl w:val="C31EE61E"/>
    <w:lvl w:ilvl="0">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3E741B"/>
    <w:multiLevelType w:val="hybridMultilevel"/>
    <w:tmpl w:val="16E8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07CA8"/>
    <w:multiLevelType w:val="hybridMultilevel"/>
    <w:tmpl w:val="1500154E"/>
    <w:lvl w:ilvl="0" w:tplc="D4066E2A">
      <w:start w:val="1"/>
      <w:numFmt w:val="bullet"/>
      <w:lvlText w:val=""/>
      <w:lvlJc w:val="left"/>
      <w:pPr>
        <w:tabs>
          <w:tab w:val="num" w:pos="720"/>
        </w:tabs>
        <w:ind w:left="720" w:hanging="360"/>
      </w:pPr>
      <w:rPr>
        <w:rFonts w:ascii="Symbol" w:hAnsi="Symbol" w:hint="default"/>
      </w:rPr>
    </w:lvl>
    <w:lvl w:ilvl="1" w:tplc="C8308A12" w:tentative="1">
      <w:start w:val="1"/>
      <w:numFmt w:val="bullet"/>
      <w:lvlText w:val=""/>
      <w:lvlJc w:val="left"/>
      <w:pPr>
        <w:tabs>
          <w:tab w:val="num" w:pos="1440"/>
        </w:tabs>
        <w:ind w:left="1440" w:hanging="360"/>
      </w:pPr>
      <w:rPr>
        <w:rFonts w:ascii="Symbol" w:hAnsi="Symbol" w:hint="default"/>
      </w:rPr>
    </w:lvl>
    <w:lvl w:ilvl="2" w:tplc="376E010C" w:tentative="1">
      <w:start w:val="1"/>
      <w:numFmt w:val="bullet"/>
      <w:lvlText w:val=""/>
      <w:lvlJc w:val="left"/>
      <w:pPr>
        <w:tabs>
          <w:tab w:val="num" w:pos="2160"/>
        </w:tabs>
        <w:ind w:left="2160" w:hanging="360"/>
      </w:pPr>
      <w:rPr>
        <w:rFonts w:ascii="Symbol" w:hAnsi="Symbol" w:hint="default"/>
      </w:rPr>
    </w:lvl>
    <w:lvl w:ilvl="3" w:tplc="70247472" w:tentative="1">
      <w:start w:val="1"/>
      <w:numFmt w:val="bullet"/>
      <w:lvlText w:val=""/>
      <w:lvlJc w:val="left"/>
      <w:pPr>
        <w:tabs>
          <w:tab w:val="num" w:pos="2880"/>
        </w:tabs>
        <w:ind w:left="2880" w:hanging="360"/>
      </w:pPr>
      <w:rPr>
        <w:rFonts w:ascii="Symbol" w:hAnsi="Symbol" w:hint="default"/>
      </w:rPr>
    </w:lvl>
    <w:lvl w:ilvl="4" w:tplc="C0CAB7EA" w:tentative="1">
      <w:start w:val="1"/>
      <w:numFmt w:val="bullet"/>
      <w:lvlText w:val=""/>
      <w:lvlJc w:val="left"/>
      <w:pPr>
        <w:tabs>
          <w:tab w:val="num" w:pos="3600"/>
        </w:tabs>
        <w:ind w:left="3600" w:hanging="360"/>
      </w:pPr>
      <w:rPr>
        <w:rFonts w:ascii="Symbol" w:hAnsi="Symbol" w:hint="default"/>
      </w:rPr>
    </w:lvl>
    <w:lvl w:ilvl="5" w:tplc="24A4319A" w:tentative="1">
      <w:start w:val="1"/>
      <w:numFmt w:val="bullet"/>
      <w:lvlText w:val=""/>
      <w:lvlJc w:val="left"/>
      <w:pPr>
        <w:tabs>
          <w:tab w:val="num" w:pos="4320"/>
        </w:tabs>
        <w:ind w:left="4320" w:hanging="360"/>
      </w:pPr>
      <w:rPr>
        <w:rFonts w:ascii="Symbol" w:hAnsi="Symbol" w:hint="default"/>
      </w:rPr>
    </w:lvl>
    <w:lvl w:ilvl="6" w:tplc="2814073E" w:tentative="1">
      <w:start w:val="1"/>
      <w:numFmt w:val="bullet"/>
      <w:lvlText w:val=""/>
      <w:lvlJc w:val="left"/>
      <w:pPr>
        <w:tabs>
          <w:tab w:val="num" w:pos="5040"/>
        </w:tabs>
        <w:ind w:left="5040" w:hanging="360"/>
      </w:pPr>
      <w:rPr>
        <w:rFonts w:ascii="Symbol" w:hAnsi="Symbol" w:hint="default"/>
      </w:rPr>
    </w:lvl>
    <w:lvl w:ilvl="7" w:tplc="478E65AE" w:tentative="1">
      <w:start w:val="1"/>
      <w:numFmt w:val="bullet"/>
      <w:lvlText w:val=""/>
      <w:lvlJc w:val="left"/>
      <w:pPr>
        <w:tabs>
          <w:tab w:val="num" w:pos="5760"/>
        </w:tabs>
        <w:ind w:left="5760" w:hanging="360"/>
      </w:pPr>
      <w:rPr>
        <w:rFonts w:ascii="Symbol" w:hAnsi="Symbol" w:hint="default"/>
      </w:rPr>
    </w:lvl>
    <w:lvl w:ilvl="8" w:tplc="4EBE255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3B122D0"/>
    <w:multiLevelType w:val="multilevel"/>
    <w:tmpl w:val="947CEE9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685E6B"/>
    <w:multiLevelType w:val="hybridMultilevel"/>
    <w:tmpl w:val="0DF83474"/>
    <w:lvl w:ilvl="0" w:tplc="B51219C8">
      <w:start w:val="1"/>
      <w:numFmt w:val="bullet"/>
      <w:lvlText w:val=""/>
      <w:lvlJc w:val="left"/>
      <w:pPr>
        <w:tabs>
          <w:tab w:val="num" w:pos="720"/>
        </w:tabs>
        <w:ind w:left="720" w:hanging="360"/>
      </w:pPr>
      <w:rPr>
        <w:rFonts w:ascii="Symbol" w:hAnsi="Symbol" w:hint="default"/>
      </w:rPr>
    </w:lvl>
    <w:lvl w:ilvl="1" w:tplc="664CE316" w:tentative="1">
      <w:start w:val="1"/>
      <w:numFmt w:val="bullet"/>
      <w:lvlText w:val=""/>
      <w:lvlJc w:val="left"/>
      <w:pPr>
        <w:tabs>
          <w:tab w:val="num" w:pos="1440"/>
        </w:tabs>
        <w:ind w:left="1440" w:hanging="360"/>
      </w:pPr>
      <w:rPr>
        <w:rFonts w:ascii="Symbol" w:hAnsi="Symbol" w:hint="default"/>
      </w:rPr>
    </w:lvl>
    <w:lvl w:ilvl="2" w:tplc="77D0DBC8" w:tentative="1">
      <w:start w:val="1"/>
      <w:numFmt w:val="bullet"/>
      <w:lvlText w:val=""/>
      <w:lvlJc w:val="left"/>
      <w:pPr>
        <w:tabs>
          <w:tab w:val="num" w:pos="2160"/>
        </w:tabs>
        <w:ind w:left="2160" w:hanging="360"/>
      </w:pPr>
      <w:rPr>
        <w:rFonts w:ascii="Symbol" w:hAnsi="Symbol" w:hint="default"/>
      </w:rPr>
    </w:lvl>
    <w:lvl w:ilvl="3" w:tplc="216EC66A" w:tentative="1">
      <w:start w:val="1"/>
      <w:numFmt w:val="bullet"/>
      <w:lvlText w:val=""/>
      <w:lvlJc w:val="left"/>
      <w:pPr>
        <w:tabs>
          <w:tab w:val="num" w:pos="2880"/>
        </w:tabs>
        <w:ind w:left="2880" w:hanging="360"/>
      </w:pPr>
      <w:rPr>
        <w:rFonts w:ascii="Symbol" w:hAnsi="Symbol" w:hint="default"/>
      </w:rPr>
    </w:lvl>
    <w:lvl w:ilvl="4" w:tplc="8A1E0936" w:tentative="1">
      <w:start w:val="1"/>
      <w:numFmt w:val="bullet"/>
      <w:lvlText w:val=""/>
      <w:lvlJc w:val="left"/>
      <w:pPr>
        <w:tabs>
          <w:tab w:val="num" w:pos="3600"/>
        </w:tabs>
        <w:ind w:left="3600" w:hanging="360"/>
      </w:pPr>
      <w:rPr>
        <w:rFonts w:ascii="Symbol" w:hAnsi="Symbol" w:hint="default"/>
      </w:rPr>
    </w:lvl>
    <w:lvl w:ilvl="5" w:tplc="B3A20292" w:tentative="1">
      <w:start w:val="1"/>
      <w:numFmt w:val="bullet"/>
      <w:lvlText w:val=""/>
      <w:lvlJc w:val="left"/>
      <w:pPr>
        <w:tabs>
          <w:tab w:val="num" w:pos="4320"/>
        </w:tabs>
        <w:ind w:left="4320" w:hanging="360"/>
      </w:pPr>
      <w:rPr>
        <w:rFonts w:ascii="Symbol" w:hAnsi="Symbol" w:hint="default"/>
      </w:rPr>
    </w:lvl>
    <w:lvl w:ilvl="6" w:tplc="F920C3FE" w:tentative="1">
      <w:start w:val="1"/>
      <w:numFmt w:val="bullet"/>
      <w:lvlText w:val=""/>
      <w:lvlJc w:val="left"/>
      <w:pPr>
        <w:tabs>
          <w:tab w:val="num" w:pos="5040"/>
        </w:tabs>
        <w:ind w:left="5040" w:hanging="360"/>
      </w:pPr>
      <w:rPr>
        <w:rFonts w:ascii="Symbol" w:hAnsi="Symbol" w:hint="default"/>
      </w:rPr>
    </w:lvl>
    <w:lvl w:ilvl="7" w:tplc="855E0E6A" w:tentative="1">
      <w:start w:val="1"/>
      <w:numFmt w:val="bullet"/>
      <w:lvlText w:val=""/>
      <w:lvlJc w:val="left"/>
      <w:pPr>
        <w:tabs>
          <w:tab w:val="num" w:pos="5760"/>
        </w:tabs>
        <w:ind w:left="5760" w:hanging="360"/>
      </w:pPr>
      <w:rPr>
        <w:rFonts w:ascii="Symbol" w:hAnsi="Symbol" w:hint="default"/>
      </w:rPr>
    </w:lvl>
    <w:lvl w:ilvl="8" w:tplc="6F50E54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CA21B7E"/>
    <w:multiLevelType w:val="hybridMultilevel"/>
    <w:tmpl w:val="B0460A86"/>
    <w:lvl w:ilvl="0" w:tplc="984405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333025">
    <w:abstractNumId w:val="10"/>
  </w:num>
  <w:num w:numId="2" w16cid:durableId="1877740970">
    <w:abstractNumId w:val="5"/>
  </w:num>
  <w:num w:numId="3" w16cid:durableId="334577902">
    <w:abstractNumId w:val="7"/>
  </w:num>
  <w:num w:numId="4" w16cid:durableId="1907034101">
    <w:abstractNumId w:val="6"/>
  </w:num>
  <w:num w:numId="5" w16cid:durableId="1753162743">
    <w:abstractNumId w:val="1"/>
  </w:num>
  <w:num w:numId="6" w16cid:durableId="549927589">
    <w:abstractNumId w:val="0"/>
  </w:num>
  <w:num w:numId="7" w16cid:durableId="156305432">
    <w:abstractNumId w:val="9"/>
  </w:num>
  <w:num w:numId="8" w16cid:durableId="1033506563">
    <w:abstractNumId w:val="11"/>
  </w:num>
  <w:num w:numId="9" w16cid:durableId="1770815005">
    <w:abstractNumId w:val="2"/>
  </w:num>
  <w:num w:numId="10" w16cid:durableId="2028947095">
    <w:abstractNumId w:val="12"/>
  </w:num>
  <w:num w:numId="11" w16cid:durableId="1199053703">
    <w:abstractNumId w:val="3"/>
  </w:num>
  <w:num w:numId="12" w16cid:durableId="1680353437">
    <w:abstractNumId w:val="8"/>
  </w:num>
  <w:num w:numId="13" w16cid:durableId="95501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B8"/>
    <w:rsid w:val="00000795"/>
    <w:rsid w:val="00003361"/>
    <w:rsid w:val="00005EB0"/>
    <w:rsid w:val="0000796E"/>
    <w:rsid w:val="00007E41"/>
    <w:rsid w:val="00013457"/>
    <w:rsid w:val="00014B63"/>
    <w:rsid w:val="00025776"/>
    <w:rsid w:val="00031C40"/>
    <w:rsid w:val="000404C9"/>
    <w:rsid w:val="00045B8D"/>
    <w:rsid w:val="00050EA1"/>
    <w:rsid w:val="00051B6D"/>
    <w:rsid w:val="00055C4F"/>
    <w:rsid w:val="00061C17"/>
    <w:rsid w:val="00061F57"/>
    <w:rsid w:val="000621D0"/>
    <w:rsid w:val="000633A8"/>
    <w:rsid w:val="0007161B"/>
    <w:rsid w:val="00076C1E"/>
    <w:rsid w:val="00076D39"/>
    <w:rsid w:val="00077D45"/>
    <w:rsid w:val="000818C8"/>
    <w:rsid w:val="000825E1"/>
    <w:rsid w:val="000834D2"/>
    <w:rsid w:val="00084F15"/>
    <w:rsid w:val="0008640D"/>
    <w:rsid w:val="00086FDB"/>
    <w:rsid w:val="00087D47"/>
    <w:rsid w:val="00090C5F"/>
    <w:rsid w:val="00093846"/>
    <w:rsid w:val="0009468B"/>
    <w:rsid w:val="000951FB"/>
    <w:rsid w:val="000A3F20"/>
    <w:rsid w:val="000A7517"/>
    <w:rsid w:val="000B270F"/>
    <w:rsid w:val="000B6472"/>
    <w:rsid w:val="000B6B0C"/>
    <w:rsid w:val="000B6FA3"/>
    <w:rsid w:val="000B7BD2"/>
    <w:rsid w:val="000C0427"/>
    <w:rsid w:val="000C33AA"/>
    <w:rsid w:val="000C3881"/>
    <w:rsid w:val="000C4D6D"/>
    <w:rsid w:val="000C5E97"/>
    <w:rsid w:val="000D1F5C"/>
    <w:rsid w:val="000D38E0"/>
    <w:rsid w:val="000D4E25"/>
    <w:rsid w:val="000E6316"/>
    <w:rsid w:val="000F14F5"/>
    <w:rsid w:val="000F5799"/>
    <w:rsid w:val="001013AA"/>
    <w:rsid w:val="001026DD"/>
    <w:rsid w:val="00106944"/>
    <w:rsid w:val="00107407"/>
    <w:rsid w:val="00113307"/>
    <w:rsid w:val="00116191"/>
    <w:rsid w:val="00122C71"/>
    <w:rsid w:val="0012682D"/>
    <w:rsid w:val="0013296E"/>
    <w:rsid w:val="00133793"/>
    <w:rsid w:val="00137F80"/>
    <w:rsid w:val="00140DC5"/>
    <w:rsid w:val="0014490F"/>
    <w:rsid w:val="00144F86"/>
    <w:rsid w:val="00145553"/>
    <w:rsid w:val="0015167F"/>
    <w:rsid w:val="001531E9"/>
    <w:rsid w:val="0015512B"/>
    <w:rsid w:val="00155257"/>
    <w:rsid w:val="00157BF4"/>
    <w:rsid w:val="00157EC5"/>
    <w:rsid w:val="00160158"/>
    <w:rsid w:val="00160170"/>
    <w:rsid w:val="001607D9"/>
    <w:rsid w:val="00162161"/>
    <w:rsid w:val="00165544"/>
    <w:rsid w:val="0017106A"/>
    <w:rsid w:val="00174238"/>
    <w:rsid w:val="001764CE"/>
    <w:rsid w:val="00177D35"/>
    <w:rsid w:val="00177DF8"/>
    <w:rsid w:val="00177F4A"/>
    <w:rsid w:val="001826CA"/>
    <w:rsid w:val="001838B8"/>
    <w:rsid w:val="00184CC7"/>
    <w:rsid w:val="00190A57"/>
    <w:rsid w:val="00190CA8"/>
    <w:rsid w:val="001957DF"/>
    <w:rsid w:val="00196BB8"/>
    <w:rsid w:val="001A24FF"/>
    <w:rsid w:val="001A29D7"/>
    <w:rsid w:val="001A43DA"/>
    <w:rsid w:val="001B5347"/>
    <w:rsid w:val="001B63E1"/>
    <w:rsid w:val="001B748A"/>
    <w:rsid w:val="001C0877"/>
    <w:rsid w:val="001C10D5"/>
    <w:rsid w:val="001C19EB"/>
    <w:rsid w:val="001C213C"/>
    <w:rsid w:val="001C4868"/>
    <w:rsid w:val="001C5D72"/>
    <w:rsid w:val="001E1D3C"/>
    <w:rsid w:val="001F63AD"/>
    <w:rsid w:val="002024FF"/>
    <w:rsid w:val="00203074"/>
    <w:rsid w:val="00203DAB"/>
    <w:rsid w:val="002063D7"/>
    <w:rsid w:val="00211257"/>
    <w:rsid w:val="00213B81"/>
    <w:rsid w:val="00214506"/>
    <w:rsid w:val="00214C3D"/>
    <w:rsid w:val="00216178"/>
    <w:rsid w:val="00221444"/>
    <w:rsid w:val="00222095"/>
    <w:rsid w:val="00222217"/>
    <w:rsid w:val="00223C53"/>
    <w:rsid w:val="00225202"/>
    <w:rsid w:val="00225638"/>
    <w:rsid w:val="00240A3A"/>
    <w:rsid w:val="00240F75"/>
    <w:rsid w:val="00243EAB"/>
    <w:rsid w:val="002446B7"/>
    <w:rsid w:val="0024471C"/>
    <w:rsid w:val="002638DC"/>
    <w:rsid w:val="00266B2A"/>
    <w:rsid w:val="002728F9"/>
    <w:rsid w:val="002729BA"/>
    <w:rsid w:val="0027507B"/>
    <w:rsid w:val="00276F65"/>
    <w:rsid w:val="00277D6C"/>
    <w:rsid w:val="00283859"/>
    <w:rsid w:val="00284F40"/>
    <w:rsid w:val="00285BC3"/>
    <w:rsid w:val="002872D0"/>
    <w:rsid w:val="002877F0"/>
    <w:rsid w:val="00292BFD"/>
    <w:rsid w:val="00295CC3"/>
    <w:rsid w:val="002A117D"/>
    <w:rsid w:val="002A2ACB"/>
    <w:rsid w:val="002A2AD0"/>
    <w:rsid w:val="002A3CAB"/>
    <w:rsid w:val="002A62C0"/>
    <w:rsid w:val="002B1297"/>
    <w:rsid w:val="002B2472"/>
    <w:rsid w:val="002B253B"/>
    <w:rsid w:val="002B6FF1"/>
    <w:rsid w:val="002B7946"/>
    <w:rsid w:val="002C123C"/>
    <w:rsid w:val="002C27AD"/>
    <w:rsid w:val="002C4B83"/>
    <w:rsid w:val="002D06DD"/>
    <w:rsid w:val="002E0D4B"/>
    <w:rsid w:val="002E565A"/>
    <w:rsid w:val="002E7747"/>
    <w:rsid w:val="002F3AE3"/>
    <w:rsid w:val="00301C3F"/>
    <w:rsid w:val="003029C2"/>
    <w:rsid w:val="00303410"/>
    <w:rsid w:val="00304503"/>
    <w:rsid w:val="00306F10"/>
    <w:rsid w:val="003074D7"/>
    <w:rsid w:val="00314100"/>
    <w:rsid w:val="003142AB"/>
    <w:rsid w:val="00315F2E"/>
    <w:rsid w:val="0032060B"/>
    <w:rsid w:val="003244D6"/>
    <w:rsid w:val="00324626"/>
    <w:rsid w:val="00325E60"/>
    <w:rsid w:val="0033005A"/>
    <w:rsid w:val="00330AC2"/>
    <w:rsid w:val="003322AE"/>
    <w:rsid w:val="00332EA8"/>
    <w:rsid w:val="00332FC5"/>
    <w:rsid w:val="00340315"/>
    <w:rsid w:val="003422E1"/>
    <w:rsid w:val="00344AFE"/>
    <w:rsid w:val="0034763C"/>
    <w:rsid w:val="0036035E"/>
    <w:rsid w:val="00360831"/>
    <w:rsid w:val="00363DE6"/>
    <w:rsid w:val="00363EA8"/>
    <w:rsid w:val="00366DB8"/>
    <w:rsid w:val="003678EF"/>
    <w:rsid w:val="00370132"/>
    <w:rsid w:val="0037155A"/>
    <w:rsid w:val="003728FF"/>
    <w:rsid w:val="00374DD9"/>
    <w:rsid w:val="00381E59"/>
    <w:rsid w:val="00382EE0"/>
    <w:rsid w:val="00385EB2"/>
    <w:rsid w:val="00390C93"/>
    <w:rsid w:val="00392432"/>
    <w:rsid w:val="00396008"/>
    <w:rsid w:val="00397158"/>
    <w:rsid w:val="003A2044"/>
    <w:rsid w:val="003A2BC3"/>
    <w:rsid w:val="003A4834"/>
    <w:rsid w:val="003B00AB"/>
    <w:rsid w:val="003C12CD"/>
    <w:rsid w:val="003C3D26"/>
    <w:rsid w:val="003C494E"/>
    <w:rsid w:val="003C5D90"/>
    <w:rsid w:val="003C62C2"/>
    <w:rsid w:val="003D1335"/>
    <w:rsid w:val="003D22F8"/>
    <w:rsid w:val="003D71BB"/>
    <w:rsid w:val="003D72AA"/>
    <w:rsid w:val="003E048A"/>
    <w:rsid w:val="003E0506"/>
    <w:rsid w:val="003E2196"/>
    <w:rsid w:val="003F30A7"/>
    <w:rsid w:val="003F602B"/>
    <w:rsid w:val="0040113A"/>
    <w:rsid w:val="00401C14"/>
    <w:rsid w:val="00401F71"/>
    <w:rsid w:val="0040201A"/>
    <w:rsid w:val="00403292"/>
    <w:rsid w:val="00404E66"/>
    <w:rsid w:val="00407323"/>
    <w:rsid w:val="00407DF9"/>
    <w:rsid w:val="00410430"/>
    <w:rsid w:val="00411CB4"/>
    <w:rsid w:val="00416DEE"/>
    <w:rsid w:val="00420ADE"/>
    <w:rsid w:val="00422135"/>
    <w:rsid w:val="004269D1"/>
    <w:rsid w:val="004318A1"/>
    <w:rsid w:val="00431EB3"/>
    <w:rsid w:val="00435218"/>
    <w:rsid w:val="0043769D"/>
    <w:rsid w:val="0044322B"/>
    <w:rsid w:val="00451992"/>
    <w:rsid w:val="004527C1"/>
    <w:rsid w:val="00454CB8"/>
    <w:rsid w:val="00455701"/>
    <w:rsid w:val="004612CC"/>
    <w:rsid w:val="0046147B"/>
    <w:rsid w:val="00463429"/>
    <w:rsid w:val="00467717"/>
    <w:rsid w:val="00467B83"/>
    <w:rsid w:val="0047020C"/>
    <w:rsid w:val="00471104"/>
    <w:rsid w:val="00471785"/>
    <w:rsid w:val="00475B04"/>
    <w:rsid w:val="00477BEF"/>
    <w:rsid w:val="00483190"/>
    <w:rsid w:val="00483397"/>
    <w:rsid w:val="00484FC9"/>
    <w:rsid w:val="00490450"/>
    <w:rsid w:val="00492D48"/>
    <w:rsid w:val="004932AC"/>
    <w:rsid w:val="004A11E7"/>
    <w:rsid w:val="004A271B"/>
    <w:rsid w:val="004A36C4"/>
    <w:rsid w:val="004A6378"/>
    <w:rsid w:val="004A7877"/>
    <w:rsid w:val="004B0BE5"/>
    <w:rsid w:val="004B1816"/>
    <w:rsid w:val="004B1876"/>
    <w:rsid w:val="004B50B3"/>
    <w:rsid w:val="004B715C"/>
    <w:rsid w:val="004C0AD5"/>
    <w:rsid w:val="004D0F83"/>
    <w:rsid w:val="004D6375"/>
    <w:rsid w:val="004E18D5"/>
    <w:rsid w:val="004E1E2E"/>
    <w:rsid w:val="004E4703"/>
    <w:rsid w:val="004E63B3"/>
    <w:rsid w:val="004E6EFA"/>
    <w:rsid w:val="004E7F40"/>
    <w:rsid w:val="004F3A7F"/>
    <w:rsid w:val="004F411A"/>
    <w:rsid w:val="004F7B11"/>
    <w:rsid w:val="00501E6D"/>
    <w:rsid w:val="00502F78"/>
    <w:rsid w:val="00504CE5"/>
    <w:rsid w:val="00511A91"/>
    <w:rsid w:val="00512CF5"/>
    <w:rsid w:val="00520E30"/>
    <w:rsid w:val="005270A6"/>
    <w:rsid w:val="0053016D"/>
    <w:rsid w:val="00535CFF"/>
    <w:rsid w:val="00536CC8"/>
    <w:rsid w:val="0053716B"/>
    <w:rsid w:val="00537F21"/>
    <w:rsid w:val="005431A3"/>
    <w:rsid w:val="00546A94"/>
    <w:rsid w:val="00550FD9"/>
    <w:rsid w:val="0055582C"/>
    <w:rsid w:val="0055671A"/>
    <w:rsid w:val="005579F4"/>
    <w:rsid w:val="00571065"/>
    <w:rsid w:val="00572259"/>
    <w:rsid w:val="00572764"/>
    <w:rsid w:val="00573C6A"/>
    <w:rsid w:val="00574EC5"/>
    <w:rsid w:val="005773A4"/>
    <w:rsid w:val="00577949"/>
    <w:rsid w:val="00581804"/>
    <w:rsid w:val="00582A39"/>
    <w:rsid w:val="00585701"/>
    <w:rsid w:val="0058584B"/>
    <w:rsid w:val="00585E41"/>
    <w:rsid w:val="00586F45"/>
    <w:rsid w:val="0058748C"/>
    <w:rsid w:val="00587F53"/>
    <w:rsid w:val="005906CC"/>
    <w:rsid w:val="005913C3"/>
    <w:rsid w:val="005914F0"/>
    <w:rsid w:val="00594EBB"/>
    <w:rsid w:val="00595284"/>
    <w:rsid w:val="005A0155"/>
    <w:rsid w:val="005A25CA"/>
    <w:rsid w:val="005A413F"/>
    <w:rsid w:val="005A421F"/>
    <w:rsid w:val="005A4226"/>
    <w:rsid w:val="005B165C"/>
    <w:rsid w:val="005B2A81"/>
    <w:rsid w:val="005B37C8"/>
    <w:rsid w:val="005C14EC"/>
    <w:rsid w:val="005C4A1B"/>
    <w:rsid w:val="005C6C25"/>
    <w:rsid w:val="005C72DB"/>
    <w:rsid w:val="005D023F"/>
    <w:rsid w:val="005D05E1"/>
    <w:rsid w:val="005D268A"/>
    <w:rsid w:val="005D5231"/>
    <w:rsid w:val="005D54B7"/>
    <w:rsid w:val="005D5A5C"/>
    <w:rsid w:val="005E0A33"/>
    <w:rsid w:val="005E13CD"/>
    <w:rsid w:val="005E1FE5"/>
    <w:rsid w:val="005E24A8"/>
    <w:rsid w:val="005E2780"/>
    <w:rsid w:val="005F33E2"/>
    <w:rsid w:val="005F63EB"/>
    <w:rsid w:val="005F6B9E"/>
    <w:rsid w:val="005F6C77"/>
    <w:rsid w:val="006000A8"/>
    <w:rsid w:val="0060138C"/>
    <w:rsid w:val="00602BCE"/>
    <w:rsid w:val="00604C64"/>
    <w:rsid w:val="00605D77"/>
    <w:rsid w:val="00616DA9"/>
    <w:rsid w:val="00620945"/>
    <w:rsid w:val="00621357"/>
    <w:rsid w:val="00624E64"/>
    <w:rsid w:val="00630777"/>
    <w:rsid w:val="0063166D"/>
    <w:rsid w:val="0063220A"/>
    <w:rsid w:val="0063424B"/>
    <w:rsid w:val="006345D2"/>
    <w:rsid w:val="00635548"/>
    <w:rsid w:val="006355A6"/>
    <w:rsid w:val="00637C5F"/>
    <w:rsid w:val="0064038B"/>
    <w:rsid w:val="00642250"/>
    <w:rsid w:val="006424C4"/>
    <w:rsid w:val="00645C95"/>
    <w:rsid w:val="006514FC"/>
    <w:rsid w:val="006565E8"/>
    <w:rsid w:val="006568D7"/>
    <w:rsid w:val="00656A35"/>
    <w:rsid w:val="00661A97"/>
    <w:rsid w:val="0066204B"/>
    <w:rsid w:val="00663C5F"/>
    <w:rsid w:val="006668BF"/>
    <w:rsid w:val="00667CC2"/>
    <w:rsid w:val="006701D7"/>
    <w:rsid w:val="00675046"/>
    <w:rsid w:val="006769BC"/>
    <w:rsid w:val="00681604"/>
    <w:rsid w:val="00681F35"/>
    <w:rsid w:val="0068537E"/>
    <w:rsid w:val="00686327"/>
    <w:rsid w:val="006872AC"/>
    <w:rsid w:val="0069639B"/>
    <w:rsid w:val="006A0BAF"/>
    <w:rsid w:val="006A571C"/>
    <w:rsid w:val="006A5D9E"/>
    <w:rsid w:val="006A739C"/>
    <w:rsid w:val="006B2A69"/>
    <w:rsid w:val="006B2DE6"/>
    <w:rsid w:val="006B6966"/>
    <w:rsid w:val="006C066C"/>
    <w:rsid w:val="006C0837"/>
    <w:rsid w:val="006C3752"/>
    <w:rsid w:val="006C5000"/>
    <w:rsid w:val="006C54DB"/>
    <w:rsid w:val="006C79F9"/>
    <w:rsid w:val="006D1FD3"/>
    <w:rsid w:val="006D4449"/>
    <w:rsid w:val="006D4603"/>
    <w:rsid w:val="006D4F93"/>
    <w:rsid w:val="006D5356"/>
    <w:rsid w:val="006E0647"/>
    <w:rsid w:val="006E4702"/>
    <w:rsid w:val="006E4BFA"/>
    <w:rsid w:val="006E5253"/>
    <w:rsid w:val="006E52F2"/>
    <w:rsid w:val="006E7FC1"/>
    <w:rsid w:val="006F0716"/>
    <w:rsid w:val="006F11D6"/>
    <w:rsid w:val="006F4440"/>
    <w:rsid w:val="006F4903"/>
    <w:rsid w:val="006F7F0C"/>
    <w:rsid w:val="00700A54"/>
    <w:rsid w:val="0070107D"/>
    <w:rsid w:val="00710FF8"/>
    <w:rsid w:val="00714E6D"/>
    <w:rsid w:val="0071710E"/>
    <w:rsid w:val="00717127"/>
    <w:rsid w:val="00717FC5"/>
    <w:rsid w:val="00720BEA"/>
    <w:rsid w:val="007214B7"/>
    <w:rsid w:val="00721927"/>
    <w:rsid w:val="00723DE7"/>
    <w:rsid w:val="007249B5"/>
    <w:rsid w:val="0072545F"/>
    <w:rsid w:val="00726148"/>
    <w:rsid w:val="007278B6"/>
    <w:rsid w:val="00732019"/>
    <w:rsid w:val="007327DB"/>
    <w:rsid w:val="0073594C"/>
    <w:rsid w:val="00740EEE"/>
    <w:rsid w:val="00743B12"/>
    <w:rsid w:val="0075008D"/>
    <w:rsid w:val="00752BE1"/>
    <w:rsid w:val="00753BA8"/>
    <w:rsid w:val="0076256B"/>
    <w:rsid w:val="0076260D"/>
    <w:rsid w:val="00763E60"/>
    <w:rsid w:val="00765D3B"/>
    <w:rsid w:val="007660A8"/>
    <w:rsid w:val="00770535"/>
    <w:rsid w:val="00770CCB"/>
    <w:rsid w:val="00771B9F"/>
    <w:rsid w:val="00775872"/>
    <w:rsid w:val="0077648A"/>
    <w:rsid w:val="007834EB"/>
    <w:rsid w:val="00786254"/>
    <w:rsid w:val="00791EF8"/>
    <w:rsid w:val="00792D2E"/>
    <w:rsid w:val="00797DF3"/>
    <w:rsid w:val="007A59BA"/>
    <w:rsid w:val="007A6DF7"/>
    <w:rsid w:val="007B0AF6"/>
    <w:rsid w:val="007B5346"/>
    <w:rsid w:val="007B72B5"/>
    <w:rsid w:val="007C237B"/>
    <w:rsid w:val="007C6573"/>
    <w:rsid w:val="007C6A69"/>
    <w:rsid w:val="007C706E"/>
    <w:rsid w:val="007D0D56"/>
    <w:rsid w:val="007D3A43"/>
    <w:rsid w:val="007D4211"/>
    <w:rsid w:val="007D45C4"/>
    <w:rsid w:val="007D6336"/>
    <w:rsid w:val="007D63D5"/>
    <w:rsid w:val="007D6D6F"/>
    <w:rsid w:val="007D7035"/>
    <w:rsid w:val="007E17B9"/>
    <w:rsid w:val="007E368F"/>
    <w:rsid w:val="007E4337"/>
    <w:rsid w:val="007F0B3E"/>
    <w:rsid w:val="007F4AE5"/>
    <w:rsid w:val="00806955"/>
    <w:rsid w:val="00807010"/>
    <w:rsid w:val="008078CF"/>
    <w:rsid w:val="008079A6"/>
    <w:rsid w:val="008115FE"/>
    <w:rsid w:val="00811C44"/>
    <w:rsid w:val="00813660"/>
    <w:rsid w:val="00817799"/>
    <w:rsid w:val="0081794E"/>
    <w:rsid w:val="00821938"/>
    <w:rsid w:val="0082238C"/>
    <w:rsid w:val="00826072"/>
    <w:rsid w:val="008348A1"/>
    <w:rsid w:val="00844B56"/>
    <w:rsid w:val="00847C65"/>
    <w:rsid w:val="00863726"/>
    <w:rsid w:val="00864899"/>
    <w:rsid w:val="00864D38"/>
    <w:rsid w:val="00864F38"/>
    <w:rsid w:val="008846C7"/>
    <w:rsid w:val="00886A4F"/>
    <w:rsid w:val="00891599"/>
    <w:rsid w:val="00893C1D"/>
    <w:rsid w:val="008962EF"/>
    <w:rsid w:val="008A0793"/>
    <w:rsid w:val="008A53E6"/>
    <w:rsid w:val="008B1286"/>
    <w:rsid w:val="008B235F"/>
    <w:rsid w:val="008B3D1D"/>
    <w:rsid w:val="008B4DB0"/>
    <w:rsid w:val="008B594B"/>
    <w:rsid w:val="008B6042"/>
    <w:rsid w:val="008B622B"/>
    <w:rsid w:val="008B644C"/>
    <w:rsid w:val="008B676F"/>
    <w:rsid w:val="008D0C2A"/>
    <w:rsid w:val="008D0C95"/>
    <w:rsid w:val="008D3282"/>
    <w:rsid w:val="008D5384"/>
    <w:rsid w:val="008D542D"/>
    <w:rsid w:val="008D5B52"/>
    <w:rsid w:val="008D74AA"/>
    <w:rsid w:val="008E09D7"/>
    <w:rsid w:val="008E29EF"/>
    <w:rsid w:val="008E2F0C"/>
    <w:rsid w:val="008E74CD"/>
    <w:rsid w:val="008F29FB"/>
    <w:rsid w:val="008F6EA9"/>
    <w:rsid w:val="009007BC"/>
    <w:rsid w:val="009011B3"/>
    <w:rsid w:val="00901F38"/>
    <w:rsid w:val="00902ED0"/>
    <w:rsid w:val="009036F8"/>
    <w:rsid w:val="00903FE4"/>
    <w:rsid w:val="00904219"/>
    <w:rsid w:val="0090471C"/>
    <w:rsid w:val="00904C1E"/>
    <w:rsid w:val="00906C04"/>
    <w:rsid w:val="009074B9"/>
    <w:rsid w:val="00907893"/>
    <w:rsid w:val="00907CC9"/>
    <w:rsid w:val="009101BC"/>
    <w:rsid w:val="009121BD"/>
    <w:rsid w:val="009153DA"/>
    <w:rsid w:val="009155CC"/>
    <w:rsid w:val="009205A3"/>
    <w:rsid w:val="009273DD"/>
    <w:rsid w:val="009306CC"/>
    <w:rsid w:val="009310D0"/>
    <w:rsid w:val="009310D8"/>
    <w:rsid w:val="00934248"/>
    <w:rsid w:val="00934DE6"/>
    <w:rsid w:val="00934F3F"/>
    <w:rsid w:val="009364E8"/>
    <w:rsid w:val="0093669C"/>
    <w:rsid w:val="009377E8"/>
    <w:rsid w:val="00945932"/>
    <w:rsid w:val="009476D6"/>
    <w:rsid w:val="00950F29"/>
    <w:rsid w:val="009600F0"/>
    <w:rsid w:val="00962758"/>
    <w:rsid w:val="00962B70"/>
    <w:rsid w:val="00964F19"/>
    <w:rsid w:val="009663C4"/>
    <w:rsid w:val="009667B1"/>
    <w:rsid w:val="00966C85"/>
    <w:rsid w:val="0098194E"/>
    <w:rsid w:val="00985AAE"/>
    <w:rsid w:val="0099036A"/>
    <w:rsid w:val="00995964"/>
    <w:rsid w:val="009A23D2"/>
    <w:rsid w:val="009A3DAF"/>
    <w:rsid w:val="009A77ED"/>
    <w:rsid w:val="009B09BC"/>
    <w:rsid w:val="009B0A76"/>
    <w:rsid w:val="009B21CC"/>
    <w:rsid w:val="009B711D"/>
    <w:rsid w:val="009C2149"/>
    <w:rsid w:val="009D053C"/>
    <w:rsid w:val="009D2CA2"/>
    <w:rsid w:val="009D4574"/>
    <w:rsid w:val="009D476E"/>
    <w:rsid w:val="009E0A60"/>
    <w:rsid w:val="009E0FD2"/>
    <w:rsid w:val="009E16A7"/>
    <w:rsid w:val="009E2782"/>
    <w:rsid w:val="009E3FC7"/>
    <w:rsid w:val="009E456A"/>
    <w:rsid w:val="009F0D2D"/>
    <w:rsid w:val="009F4D2C"/>
    <w:rsid w:val="00A004D7"/>
    <w:rsid w:val="00A040B1"/>
    <w:rsid w:val="00A05ABE"/>
    <w:rsid w:val="00A16F6F"/>
    <w:rsid w:val="00A2189C"/>
    <w:rsid w:val="00A22E0E"/>
    <w:rsid w:val="00A23FEF"/>
    <w:rsid w:val="00A24B32"/>
    <w:rsid w:val="00A25B5D"/>
    <w:rsid w:val="00A26443"/>
    <w:rsid w:val="00A33C30"/>
    <w:rsid w:val="00A349B4"/>
    <w:rsid w:val="00A35A18"/>
    <w:rsid w:val="00A41410"/>
    <w:rsid w:val="00A44010"/>
    <w:rsid w:val="00A46E43"/>
    <w:rsid w:val="00A471E1"/>
    <w:rsid w:val="00A534CE"/>
    <w:rsid w:val="00A54E3E"/>
    <w:rsid w:val="00A578B0"/>
    <w:rsid w:val="00A60644"/>
    <w:rsid w:val="00A62EB6"/>
    <w:rsid w:val="00A6600C"/>
    <w:rsid w:val="00A66167"/>
    <w:rsid w:val="00A71152"/>
    <w:rsid w:val="00A71592"/>
    <w:rsid w:val="00A731EB"/>
    <w:rsid w:val="00A732A2"/>
    <w:rsid w:val="00A73300"/>
    <w:rsid w:val="00A75DA8"/>
    <w:rsid w:val="00A76777"/>
    <w:rsid w:val="00A81A58"/>
    <w:rsid w:val="00A826D1"/>
    <w:rsid w:val="00A82D6E"/>
    <w:rsid w:val="00A84826"/>
    <w:rsid w:val="00A84D93"/>
    <w:rsid w:val="00A8619A"/>
    <w:rsid w:val="00A86D82"/>
    <w:rsid w:val="00A8787F"/>
    <w:rsid w:val="00A92CC7"/>
    <w:rsid w:val="00A94A0B"/>
    <w:rsid w:val="00A96E14"/>
    <w:rsid w:val="00A97F79"/>
    <w:rsid w:val="00AA58DD"/>
    <w:rsid w:val="00AA5B4F"/>
    <w:rsid w:val="00AA76BC"/>
    <w:rsid w:val="00AA7B8A"/>
    <w:rsid w:val="00AB2310"/>
    <w:rsid w:val="00AB2750"/>
    <w:rsid w:val="00AB53B1"/>
    <w:rsid w:val="00AC156B"/>
    <w:rsid w:val="00AC1BEF"/>
    <w:rsid w:val="00AC234C"/>
    <w:rsid w:val="00AC27DA"/>
    <w:rsid w:val="00AC5072"/>
    <w:rsid w:val="00AC54A2"/>
    <w:rsid w:val="00AD018D"/>
    <w:rsid w:val="00AD4E0A"/>
    <w:rsid w:val="00AD649E"/>
    <w:rsid w:val="00AD7068"/>
    <w:rsid w:val="00AD725A"/>
    <w:rsid w:val="00AD7A91"/>
    <w:rsid w:val="00AE01FB"/>
    <w:rsid w:val="00AE22FF"/>
    <w:rsid w:val="00AE2F20"/>
    <w:rsid w:val="00AE41DE"/>
    <w:rsid w:val="00AE49E1"/>
    <w:rsid w:val="00AF03AD"/>
    <w:rsid w:val="00AF08D7"/>
    <w:rsid w:val="00AF0A1E"/>
    <w:rsid w:val="00AF3CEC"/>
    <w:rsid w:val="00B016D6"/>
    <w:rsid w:val="00B034ED"/>
    <w:rsid w:val="00B05D44"/>
    <w:rsid w:val="00B1239A"/>
    <w:rsid w:val="00B14334"/>
    <w:rsid w:val="00B160B8"/>
    <w:rsid w:val="00B1744B"/>
    <w:rsid w:val="00B1796B"/>
    <w:rsid w:val="00B17C89"/>
    <w:rsid w:val="00B23CA5"/>
    <w:rsid w:val="00B307DC"/>
    <w:rsid w:val="00B32CCC"/>
    <w:rsid w:val="00B354D2"/>
    <w:rsid w:val="00B363E9"/>
    <w:rsid w:val="00B41C57"/>
    <w:rsid w:val="00B42B91"/>
    <w:rsid w:val="00B460C8"/>
    <w:rsid w:val="00B51591"/>
    <w:rsid w:val="00B55923"/>
    <w:rsid w:val="00B57070"/>
    <w:rsid w:val="00B61534"/>
    <w:rsid w:val="00B61C42"/>
    <w:rsid w:val="00B6220C"/>
    <w:rsid w:val="00B633D2"/>
    <w:rsid w:val="00B65C5C"/>
    <w:rsid w:val="00B66D2C"/>
    <w:rsid w:val="00B70FD1"/>
    <w:rsid w:val="00B718C3"/>
    <w:rsid w:val="00B73432"/>
    <w:rsid w:val="00B736C9"/>
    <w:rsid w:val="00B7491A"/>
    <w:rsid w:val="00B754F4"/>
    <w:rsid w:val="00B75C99"/>
    <w:rsid w:val="00B76C90"/>
    <w:rsid w:val="00B81295"/>
    <w:rsid w:val="00B85D2C"/>
    <w:rsid w:val="00B8710A"/>
    <w:rsid w:val="00B92E01"/>
    <w:rsid w:val="00B93E80"/>
    <w:rsid w:val="00B94315"/>
    <w:rsid w:val="00B97084"/>
    <w:rsid w:val="00BA1274"/>
    <w:rsid w:val="00BA17F5"/>
    <w:rsid w:val="00BA292A"/>
    <w:rsid w:val="00BA7396"/>
    <w:rsid w:val="00BA79FA"/>
    <w:rsid w:val="00BB0D76"/>
    <w:rsid w:val="00BB40B0"/>
    <w:rsid w:val="00BC3491"/>
    <w:rsid w:val="00BC4891"/>
    <w:rsid w:val="00BC5DEB"/>
    <w:rsid w:val="00BC7DA8"/>
    <w:rsid w:val="00BD4267"/>
    <w:rsid w:val="00BD51D6"/>
    <w:rsid w:val="00BD6335"/>
    <w:rsid w:val="00BE1329"/>
    <w:rsid w:val="00BE36FB"/>
    <w:rsid w:val="00BE5FB4"/>
    <w:rsid w:val="00BE6559"/>
    <w:rsid w:val="00BE7236"/>
    <w:rsid w:val="00BF1434"/>
    <w:rsid w:val="00BF39D4"/>
    <w:rsid w:val="00C032A3"/>
    <w:rsid w:val="00C10618"/>
    <w:rsid w:val="00C11411"/>
    <w:rsid w:val="00C1310F"/>
    <w:rsid w:val="00C13C3C"/>
    <w:rsid w:val="00C21796"/>
    <w:rsid w:val="00C22A3C"/>
    <w:rsid w:val="00C33387"/>
    <w:rsid w:val="00C3606E"/>
    <w:rsid w:val="00C366F0"/>
    <w:rsid w:val="00C4239B"/>
    <w:rsid w:val="00C45DD9"/>
    <w:rsid w:val="00C64DD4"/>
    <w:rsid w:val="00C652D8"/>
    <w:rsid w:val="00C77E9B"/>
    <w:rsid w:val="00C8073F"/>
    <w:rsid w:val="00C80E93"/>
    <w:rsid w:val="00C824EC"/>
    <w:rsid w:val="00C85E73"/>
    <w:rsid w:val="00C865EA"/>
    <w:rsid w:val="00C90A1E"/>
    <w:rsid w:val="00C96921"/>
    <w:rsid w:val="00C97228"/>
    <w:rsid w:val="00CA0301"/>
    <w:rsid w:val="00CA3A24"/>
    <w:rsid w:val="00CA58D8"/>
    <w:rsid w:val="00CA5FB4"/>
    <w:rsid w:val="00CB707D"/>
    <w:rsid w:val="00CB7CA5"/>
    <w:rsid w:val="00CC1EF5"/>
    <w:rsid w:val="00CC3BB5"/>
    <w:rsid w:val="00CC4E34"/>
    <w:rsid w:val="00CC533F"/>
    <w:rsid w:val="00CC64C4"/>
    <w:rsid w:val="00CD22C7"/>
    <w:rsid w:val="00CD28B6"/>
    <w:rsid w:val="00CD3C8E"/>
    <w:rsid w:val="00CD5C42"/>
    <w:rsid w:val="00CE119C"/>
    <w:rsid w:val="00CE2908"/>
    <w:rsid w:val="00CE47F8"/>
    <w:rsid w:val="00CF1C0B"/>
    <w:rsid w:val="00CF2BD8"/>
    <w:rsid w:val="00CF53AF"/>
    <w:rsid w:val="00D01A74"/>
    <w:rsid w:val="00D04801"/>
    <w:rsid w:val="00D05B85"/>
    <w:rsid w:val="00D0693C"/>
    <w:rsid w:val="00D12D02"/>
    <w:rsid w:val="00D130B4"/>
    <w:rsid w:val="00D14BBB"/>
    <w:rsid w:val="00D20439"/>
    <w:rsid w:val="00D26345"/>
    <w:rsid w:val="00D30043"/>
    <w:rsid w:val="00D31B03"/>
    <w:rsid w:val="00D326FA"/>
    <w:rsid w:val="00D32F99"/>
    <w:rsid w:val="00D376D4"/>
    <w:rsid w:val="00D4257E"/>
    <w:rsid w:val="00D4412C"/>
    <w:rsid w:val="00D50804"/>
    <w:rsid w:val="00D5169D"/>
    <w:rsid w:val="00D51D43"/>
    <w:rsid w:val="00D564F4"/>
    <w:rsid w:val="00D60A43"/>
    <w:rsid w:val="00D6498F"/>
    <w:rsid w:val="00D66F53"/>
    <w:rsid w:val="00D67547"/>
    <w:rsid w:val="00D7054A"/>
    <w:rsid w:val="00D71497"/>
    <w:rsid w:val="00D722B1"/>
    <w:rsid w:val="00D72BF6"/>
    <w:rsid w:val="00D72D95"/>
    <w:rsid w:val="00D73743"/>
    <w:rsid w:val="00D7413C"/>
    <w:rsid w:val="00D74D4F"/>
    <w:rsid w:val="00D75362"/>
    <w:rsid w:val="00D75CDD"/>
    <w:rsid w:val="00D76E23"/>
    <w:rsid w:val="00D80844"/>
    <w:rsid w:val="00D81059"/>
    <w:rsid w:val="00D844A9"/>
    <w:rsid w:val="00D84EC4"/>
    <w:rsid w:val="00D85B58"/>
    <w:rsid w:val="00D90D9B"/>
    <w:rsid w:val="00D92862"/>
    <w:rsid w:val="00D92E3A"/>
    <w:rsid w:val="00D943A7"/>
    <w:rsid w:val="00D955C2"/>
    <w:rsid w:val="00D96312"/>
    <w:rsid w:val="00DA27CC"/>
    <w:rsid w:val="00DA594E"/>
    <w:rsid w:val="00DA70B1"/>
    <w:rsid w:val="00DB57B4"/>
    <w:rsid w:val="00DB79B3"/>
    <w:rsid w:val="00DC2C2E"/>
    <w:rsid w:val="00DC2DB1"/>
    <w:rsid w:val="00DC4D79"/>
    <w:rsid w:val="00DC72D4"/>
    <w:rsid w:val="00DD0074"/>
    <w:rsid w:val="00DD10E3"/>
    <w:rsid w:val="00DD3DEF"/>
    <w:rsid w:val="00DD42ED"/>
    <w:rsid w:val="00DD55FC"/>
    <w:rsid w:val="00DD5D51"/>
    <w:rsid w:val="00DD6D46"/>
    <w:rsid w:val="00DE00FA"/>
    <w:rsid w:val="00DE13EF"/>
    <w:rsid w:val="00DE4F15"/>
    <w:rsid w:val="00DE5654"/>
    <w:rsid w:val="00DE6AD8"/>
    <w:rsid w:val="00DE7EA4"/>
    <w:rsid w:val="00DF20D5"/>
    <w:rsid w:val="00DF4E7F"/>
    <w:rsid w:val="00DF5352"/>
    <w:rsid w:val="00DF7172"/>
    <w:rsid w:val="00DF7239"/>
    <w:rsid w:val="00E00D4A"/>
    <w:rsid w:val="00E0117C"/>
    <w:rsid w:val="00E01D1C"/>
    <w:rsid w:val="00E02935"/>
    <w:rsid w:val="00E113BE"/>
    <w:rsid w:val="00E1740B"/>
    <w:rsid w:val="00E177C4"/>
    <w:rsid w:val="00E17B78"/>
    <w:rsid w:val="00E20536"/>
    <w:rsid w:val="00E2099B"/>
    <w:rsid w:val="00E20E95"/>
    <w:rsid w:val="00E230F9"/>
    <w:rsid w:val="00E304A3"/>
    <w:rsid w:val="00E3734D"/>
    <w:rsid w:val="00E374EC"/>
    <w:rsid w:val="00E40CD2"/>
    <w:rsid w:val="00E431D2"/>
    <w:rsid w:val="00E50867"/>
    <w:rsid w:val="00E51C6B"/>
    <w:rsid w:val="00E51FD6"/>
    <w:rsid w:val="00E5591D"/>
    <w:rsid w:val="00E61245"/>
    <w:rsid w:val="00E6179E"/>
    <w:rsid w:val="00E6195D"/>
    <w:rsid w:val="00E61DB5"/>
    <w:rsid w:val="00E625C8"/>
    <w:rsid w:val="00E65FF0"/>
    <w:rsid w:val="00E73275"/>
    <w:rsid w:val="00E741E1"/>
    <w:rsid w:val="00E74B52"/>
    <w:rsid w:val="00E74F83"/>
    <w:rsid w:val="00E75262"/>
    <w:rsid w:val="00E765DF"/>
    <w:rsid w:val="00E76687"/>
    <w:rsid w:val="00E81132"/>
    <w:rsid w:val="00E8116C"/>
    <w:rsid w:val="00E83BD8"/>
    <w:rsid w:val="00E903CB"/>
    <w:rsid w:val="00EA183A"/>
    <w:rsid w:val="00EA197E"/>
    <w:rsid w:val="00EA276E"/>
    <w:rsid w:val="00EA5333"/>
    <w:rsid w:val="00EA55EC"/>
    <w:rsid w:val="00EB0519"/>
    <w:rsid w:val="00EB167E"/>
    <w:rsid w:val="00EB25A2"/>
    <w:rsid w:val="00EB2A7B"/>
    <w:rsid w:val="00EC0080"/>
    <w:rsid w:val="00EC3F17"/>
    <w:rsid w:val="00EC428C"/>
    <w:rsid w:val="00EC45FF"/>
    <w:rsid w:val="00ED44D1"/>
    <w:rsid w:val="00EE01F0"/>
    <w:rsid w:val="00EE27A7"/>
    <w:rsid w:val="00EE6313"/>
    <w:rsid w:val="00EE7F46"/>
    <w:rsid w:val="00EF7603"/>
    <w:rsid w:val="00EF7D9B"/>
    <w:rsid w:val="00EF7FCB"/>
    <w:rsid w:val="00F02737"/>
    <w:rsid w:val="00F03A69"/>
    <w:rsid w:val="00F07C35"/>
    <w:rsid w:val="00F07D01"/>
    <w:rsid w:val="00F10795"/>
    <w:rsid w:val="00F12493"/>
    <w:rsid w:val="00F13292"/>
    <w:rsid w:val="00F1341D"/>
    <w:rsid w:val="00F13B30"/>
    <w:rsid w:val="00F14A80"/>
    <w:rsid w:val="00F160E1"/>
    <w:rsid w:val="00F242C9"/>
    <w:rsid w:val="00F24412"/>
    <w:rsid w:val="00F24437"/>
    <w:rsid w:val="00F266F9"/>
    <w:rsid w:val="00F2723E"/>
    <w:rsid w:val="00F27420"/>
    <w:rsid w:val="00F304FB"/>
    <w:rsid w:val="00F32E58"/>
    <w:rsid w:val="00F33410"/>
    <w:rsid w:val="00F33F79"/>
    <w:rsid w:val="00F37BF7"/>
    <w:rsid w:val="00F40E2A"/>
    <w:rsid w:val="00F4166E"/>
    <w:rsid w:val="00F51161"/>
    <w:rsid w:val="00F51288"/>
    <w:rsid w:val="00F524CD"/>
    <w:rsid w:val="00F54F8E"/>
    <w:rsid w:val="00F55969"/>
    <w:rsid w:val="00F6144B"/>
    <w:rsid w:val="00F630E4"/>
    <w:rsid w:val="00F63463"/>
    <w:rsid w:val="00F64219"/>
    <w:rsid w:val="00F655FB"/>
    <w:rsid w:val="00F66478"/>
    <w:rsid w:val="00F66B36"/>
    <w:rsid w:val="00F71CF6"/>
    <w:rsid w:val="00F72AFA"/>
    <w:rsid w:val="00F73924"/>
    <w:rsid w:val="00F75380"/>
    <w:rsid w:val="00F76F41"/>
    <w:rsid w:val="00F773A4"/>
    <w:rsid w:val="00F84FC4"/>
    <w:rsid w:val="00F92267"/>
    <w:rsid w:val="00F93194"/>
    <w:rsid w:val="00F96D98"/>
    <w:rsid w:val="00FA1BE8"/>
    <w:rsid w:val="00FA2C3B"/>
    <w:rsid w:val="00FA6C29"/>
    <w:rsid w:val="00FA6E34"/>
    <w:rsid w:val="00FA77A4"/>
    <w:rsid w:val="00FB0671"/>
    <w:rsid w:val="00FB08AE"/>
    <w:rsid w:val="00FB10D9"/>
    <w:rsid w:val="00FB37C9"/>
    <w:rsid w:val="00FB5207"/>
    <w:rsid w:val="00FC124B"/>
    <w:rsid w:val="00FC1C8C"/>
    <w:rsid w:val="00FC4860"/>
    <w:rsid w:val="00FD67CD"/>
    <w:rsid w:val="00FD7C56"/>
    <w:rsid w:val="00FE1971"/>
    <w:rsid w:val="00FE2BEF"/>
    <w:rsid w:val="00FE321E"/>
    <w:rsid w:val="00FE406E"/>
    <w:rsid w:val="00FE477F"/>
    <w:rsid w:val="00FE4DF8"/>
    <w:rsid w:val="00FF1A34"/>
    <w:rsid w:val="00FF2D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FC10A"/>
  <w15:docId w15:val="{5A82D38C-B2F8-47DD-8A37-A9119C1E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18"/>
  </w:style>
  <w:style w:type="paragraph" w:styleId="Heading1">
    <w:name w:val="heading 1"/>
    <w:basedOn w:val="Normal"/>
    <w:next w:val="Normal"/>
    <w:link w:val="Heading1Char"/>
    <w:uiPriority w:val="9"/>
    <w:qFormat/>
    <w:rsid w:val="000814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8141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08141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08141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8141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8141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814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141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814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14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Header">
    <w:name w:val="header"/>
    <w:basedOn w:val="Normal"/>
    <w:link w:val="HeaderChar"/>
    <w:uiPriority w:val="99"/>
    <w:unhideWhenUsed/>
    <w:rsid w:val="008D7AF2"/>
    <w:pPr>
      <w:tabs>
        <w:tab w:val="center" w:pos="4513"/>
        <w:tab w:val="right" w:pos="9026"/>
      </w:tabs>
    </w:pPr>
  </w:style>
  <w:style w:type="character" w:customStyle="1" w:styleId="HeaderChar">
    <w:name w:val="Header Char"/>
    <w:basedOn w:val="DefaultParagraphFont"/>
    <w:link w:val="Header"/>
    <w:uiPriority w:val="99"/>
    <w:rsid w:val="008D7AF2"/>
    <w:rPr>
      <w:rFonts w:ascii="Calibri" w:hAnsi="Calibri" w:cs="Calibri"/>
    </w:rPr>
  </w:style>
  <w:style w:type="paragraph" w:styleId="Footer">
    <w:name w:val="footer"/>
    <w:basedOn w:val="Normal"/>
    <w:link w:val="FooterChar"/>
    <w:uiPriority w:val="99"/>
    <w:unhideWhenUsed/>
    <w:rsid w:val="008D7AF2"/>
    <w:pPr>
      <w:tabs>
        <w:tab w:val="center" w:pos="4513"/>
        <w:tab w:val="right" w:pos="9026"/>
      </w:tabs>
    </w:pPr>
  </w:style>
  <w:style w:type="character" w:customStyle="1" w:styleId="FooterChar">
    <w:name w:val="Footer Char"/>
    <w:basedOn w:val="DefaultParagraphFont"/>
    <w:link w:val="Footer"/>
    <w:uiPriority w:val="99"/>
    <w:rsid w:val="008D7AF2"/>
    <w:rPr>
      <w:rFonts w:ascii="Calibri" w:hAnsi="Calibri" w:cs="Calibri"/>
    </w:rPr>
  </w:style>
  <w:style w:type="character" w:styleId="Hyperlink">
    <w:name w:val="Hyperlink"/>
    <w:basedOn w:val="DefaultParagraphFont"/>
    <w:uiPriority w:val="99"/>
    <w:unhideWhenUsed/>
    <w:rsid w:val="00CD7098"/>
    <w:rPr>
      <w:color w:val="0000FF"/>
      <w:u w:val="single"/>
    </w:rPr>
  </w:style>
  <w:style w:type="character" w:styleId="Strong">
    <w:name w:val="Strong"/>
    <w:basedOn w:val="DefaultParagraphFont"/>
    <w:uiPriority w:val="22"/>
    <w:qFormat/>
    <w:rsid w:val="00081418"/>
    <w:rPr>
      <w:b/>
      <w:bCs/>
    </w:rPr>
  </w:style>
  <w:style w:type="character" w:styleId="Emphasis">
    <w:name w:val="Emphasis"/>
    <w:basedOn w:val="DefaultParagraphFont"/>
    <w:uiPriority w:val="20"/>
    <w:qFormat/>
    <w:rsid w:val="00081418"/>
    <w:rPr>
      <w:i/>
      <w:iCs/>
    </w:rPr>
  </w:style>
  <w:style w:type="table" w:styleId="TableGrid">
    <w:name w:val="Table Grid"/>
    <w:basedOn w:val="TableNormal"/>
    <w:uiPriority w:val="39"/>
    <w:rsid w:val="00237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1418"/>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081418"/>
    <w:pPr>
      <w:outlineLvl w:val="9"/>
    </w:pPr>
  </w:style>
  <w:style w:type="paragraph" w:styleId="TOC1">
    <w:name w:val="toc 1"/>
    <w:basedOn w:val="Normal"/>
    <w:next w:val="Normal"/>
    <w:autoRedefine/>
    <w:uiPriority w:val="39"/>
    <w:unhideWhenUsed/>
    <w:rsid w:val="00C4239B"/>
    <w:pPr>
      <w:tabs>
        <w:tab w:val="right" w:leader="dot" w:pos="9016"/>
      </w:tabs>
      <w:spacing w:after="100"/>
    </w:pPr>
  </w:style>
  <w:style w:type="paragraph" w:styleId="BalloonText">
    <w:name w:val="Balloon Text"/>
    <w:basedOn w:val="Normal"/>
    <w:link w:val="BalloonTextChar"/>
    <w:uiPriority w:val="99"/>
    <w:semiHidden/>
    <w:unhideWhenUsed/>
    <w:rsid w:val="000A28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80E"/>
    <w:rPr>
      <w:rFonts w:ascii="Segoe UI" w:hAnsi="Segoe UI" w:cs="Segoe UI"/>
      <w:sz w:val="18"/>
      <w:szCs w:val="18"/>
    </w:rPr>
  </w:style>
  <w:style w:type="character" w:styleId="CommentReference">
    <w:name w:val="annotation reference"/>
    <w:basedOn w:val="DefaultParagraphFont"/>
    <w:uiPriority w:val="99"/>
    <w:semiHidden/>
    <w:unhideWhenUsed/>
    <w:rsid w:val="00F46D76"/>
    <w:rPr>
      <w:sz w:val="16"/>
      <w:szCs w:val="16"/>
    </w:rPr>
  </w:style>
  <w:style w:type="paragraph" w:styleId="CommentText">
    <w:name w:val="annotation text"/>
    <w:basedOn w:val="Normal"/>
    <w:link w:val="CommentTextChar"/>
    <w:uiPriority w:val="99"/>
    <w:unhideWhenUsed/>
    <w:rsid w:val="00F46D76"/>
    <w:rPr>
      <w:sz w:val="20"/>
      <w:szCs w:val="20"/>
    </w:rPr>
  </w:style>
  <w:style w:type="character" w:customStyle="1" w:styleId="CommentTextChar">
    <w:name w:val="Comment Text Char"/>
    <w:basedOn w:val="DefaultParagraphFont"/>
    <w:link w:val="CommentText"/>
    <w:uiPriority w:val="99"/>
    <w:rsid w:val="00F46D7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6D76"/>
    <w:rPr>
      <w:b/>
      <w:bCs/>
    </w:rPr>
  </w:style>
  <w:style w:type="character" w:customStyle="1" w:styleId="CommentSubjectChar">
    <w:name w:val="Comment Subject Char"/>
    <w:basedOn w:val="CommentTextChar"/>
    <w:link w:val="CommentSubject"/>
    <w:uiPriority w:val="99"/>
    <w:semiHidden/>
    <w:rsid w:val="00F46D76"/>
    <w:rPr>
      <w:rFonts w:ascii="Calibri" w:hAnsi="Calibri" w:cs="Calibri"/>
      <w:b/>
      <w:bCs/>
      <w:sz w:val="20"/>
      <w:szCs w:val="20"/>
    </w:rPr>
  </w:style>
  <w:style w:type="paragraph" w:styleId="FootnoteText">
    <w:name w:val="footnote text"/>
    <w:basedOn w:val="Normal"/>
    <w:link w:val="FootnoteTextChar"/>
    <w:uiPriority w:val="99"/>
    <w:unhideWhenUsed/>
    <w:rsid w:val="00662C72"/>
    <w:rPr>
      <w:sz w:val="20"/>
      <w:szCs w:val="20"/>
    </w:rPr>
  </w:style>
  <w:style w:type="character" w:customStyle="1" w:styleId="FootnoteTextChar">
    <w:name w:val="Footnote Text Char"/>
    <w:basedOn w:val="DefaultParagraphFont"/>
    <w:link w:val="FootnoteText"/>
    <w:uiPriority w:val="99"/>
    <w:rsid w:val="00662C72"/>
    <w:rPr>
      <w:rFonts w:ascii="Calibri" w:hAnsi="Calibri" w:cs="Calibri"/>
      <w:sz w:val="20"/>
      <w:szCs w:val="20"/>
    </w:rPr>
  </w:style>
  <w:style w:type="character" w:styleId="FootnoteReference">
    <w:name w:val="footnote reference"/>
    <w:basedOn w:val="DefaultParagraphFont"/>
    <w:uiPriority w:val="99"/>
    <w:semiHidden/>
    <w:unhideWhenUsed/>
    <w:rsid w:val="00662C72"/>
    <w:rPr>
      <w:vertAlign w:val="superscript"/>
    </w:rPr>
  </w:style>
  <w:style w:type="paragraph" w:styleId="ListParagraph">
    <w:name w:val="List Paragraph"/>
    <w:basedOn w:val="Normal"/>
    <w:uiPriority w:val="34"/>
    <w:qFormat/>
    <w:rsid w:val="00C05CC0"/>
    <w:pPr>
      <w:ind w:left="720"/>
      <w:contextualSpacing/>
    </w:pPr>
  </w:style>
  <w:style w:type="character" w:customStyle="1" w:styleId="UnresolvedMention1">
    <w:name w:val="Unresolved Mention1"/>
    <w:basedOn w:val="DefaultParagraphFont"/>
    <w:uiPriority w:val="99"/>
    <w:semiHidden/>
    <w:unhideWhenUsed/>
    <w:rsid w:val="00C05CC0"/>
    <w:rPr>
      <w:color w:val="605E5C"/>
      <w:shd w:val="clear" w:color="auto" w:fill="E1DFDD"/>
    </w:rPr>
  </w:style>
  <w:style w:type="character" w:customStyle="1" w:styleId="Heading2Char">
    <w:name w:val="Heading 2 Char"/>
    <w:basedOn w:val="DefaultParagraphFont"/>
    <w:link w:val="Heading2"/>
    <w:uiPriority w:val="9"/>
    <w:rsid w:val="00081418"/>
    <w:rPr>
      <w:rFonts w:asciiTheme="majorHAnsi" w:eastAsiaTheme="majorEastAsia" w:hAnsiTheme="majorHAnsi" w:cstheme="majorBidi"/>
      <w:b/>
      <w:bCs/>
      <w:color w:val="5B9BD5" w:themeColor="accent1"/>
      <w:sz w:val="26"/>
      <w:szCs w:val="26"/>
    </w:rPr>
  </w:style>
  <w:style w:type="character" w:styleId="UnresolvedMention">
    <w:name w:val="Unresolved Mention"/>
    <w:basedOn w:val="DefaultParagraphFont"/>
    <w:uiPriority w:val="99"/>
    <w:semiHidden/>
    <w:unhideWhenUsed/>
    <w:rsid w:val="00AC747D"/>
    <w:rPr>
      <w:color w:val="605E5C"/>
      <w:shd w:val="clear" w:color="auto" w:fill="E1DFDD"/>
    </w:rPr>
  </w:style>
  <w:style w:type="character" w:styleId="FollowedHyperlink">
    <w:name w:val="FollowedHyperlink"/>
    <w:basedOn w:val="DefaultParagraphFont"/>
    <w:uiPriority w:val="99"/>
    <w:semiHidden/>
    <w:unhideWhenUsed/>
    <w:rsid w:val="0039564D"/>
    <w:rPr>
      <w:color w:val="954F72" w:themeColor="followedHyperlink"/>
      <w:u w:val="single"/>
    </w:rPr>
  </w:style>
  <w:style w:type="character" w:customStyle="1" w:styleId="Heading3Char">
    <w:name w:val="Heading 3 Char"/>
    <w:basedOn w:val="DefaultParagraphFont"/>
    <w:link w:val="Heading3"/>
    <w:uiPriority w:val="9"/>
    <w:semiHidden/>
    <w:rsid w:val="0008141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08141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8141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8141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814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1418"/>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8141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1418"/>
    <w:pPr>
      <w:spacing w:line="240" w:lineRule="auto"/>
    </w:pPr>
    <w:rPr>
      <w:b/>
      <w:bCs/>
      <w:color w:val="5B9BD5" w:themeColor="accent1"/>
      <w:sz w:val="18"/>
      <w:szCs w:val="18"/>
    </w:rPr>
  </w:style>
  <w:style w:type="character" w:customStyle="1" w:styleId="TitleChar">
    <w:name w:val="Title Char"/>
    <w:basedOn w:val="DefaultParagraphFont"/>
    <w:link w:val="Title"/>
    <w:uiPriority w:val="10"/>
    <w:rsid w:val="00081418"/>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i/>
      <w:color w:val="5B9BD5"/>
      <w:sz w:val="24"/>
      <w:szCs w:val="24"/>
    </w:rPr>
  </w:style>
  <w:style w:type="character" w:customStyle="1" w:styleId="SubtitleChar">
    <w:name w:val="Subtitle Char"/>
    <w:basedOn w:val="DefaultParagraphFont"/>
    <w:link w:val="Subtitle"/>
    <w:uiPriority w:val="11"/>
    <w:rsid w:val="00081418"/>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081418"/>
    <w:pPr>
      <w:spacing w:after="0" w:line="240" w:lineRule="auto"/>
    </w:pPr>
  </w:style>
  <w:style w:type="paragraph" w:styleId="Quote">
    <w:name w:val="Quote"/>
    <w:basedOn w:val="Normal"/>
    <w:next w:val="Normal"/>
    <w:link w:val="QuoteChar"/>
    <w:uiPriority w:val="29"/>
    <w:qFormat/>
    <w:rsid w:val="00081418"/>
    <w:rPr>
      <w:i/>
      <w:iCs/>
      <w:color w:val="000000" w:themeColor="text1"/>
    </w:rPr>
  </w:style>
  <w:style w:type="character" w:customStyle="1" w:styleId="QuoteChar">
    <w:name w:val="Quote Char"/>
    <w:basedOn w:val="DefaultParagraphFont"/>
    <w:link w:val="Quote"/>
    <w:uiPriority w:val="29"/>
    <w:rsid w:val="00081418"/>
    <w:rPr>
      <w:i/>
      <w:iCs/>
      <w:color w:val="000000" w:themeColor="text1"/>
    </w:rPr>
  </w:style>
  <w:style w:type="paragraph" w:styleId="IntenseQuote">
    <w:name w:val="Intense Quote"/>
    <w:basedOn w:val="Normal"/>
    <w:next w:val="Normal"/>
    <w:link w:val="IntenseQuoteChar"/>
    <w:uiPriority w:val="30"/>
    <w:qFormat/>
    <w:rsid w:val="0008141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81418"/>
    <w:rPr>
      <w:b/>
      <w:bCs/>
      <w:i/>
      <w:iCs/>
      <w:color w:val="5B9BD5" w:themeColor="accent1"/>
    </w:rPr>
  </w:style>
  <w:style w:type="character" w:styleId="SubtleEmphasis">
    <w:name w:val="Subtle Emphasis"/>
    <w:basedOn w:val="DefaultParagraphFont"/>
    <w:uiPriority w:val="19"/>
    <w:qFormat/>
    <w:rsid w:val="00081418"/>
    <w:rPr>
      <w:i/>
      <w:iCs/>
      <w:color w:val="808080" w:themeColor="text1" w:themeTint="7F"/>
    </w:rPr>
  </w:style>
  <w:style w:type="character" w:styleId="IntenseEmphasis">
    <w:name w:val="Intense Emphasis"/>
    <w:basedOn w:val="DefaultParagraphFont"/>
    <w:uiPriority w:val="21"/>
    <w:qFormat/>
    <w:rsid w:val="00081418"/>
    <w:rPr>
      <w:b/>
      <w:bCs/>
      <w:i/>
      <w:iCs/>
      <w:color w:val="5B9BD5" w:themeColor="accent1"/>
    </w:rPr>
  </w:style>
  <w:style w:type="character" w:styleId="SubtleReference">
    <w:name w:val="Subtle Reference"/>
    <w:basedOn w:val="DefaultParagraphFont"/>
    <w:uiPriority w:val="31"/>
    <w:qFormat/>
    <w:rsid w:val="00081418"/>
    <w:rPr>
      <w:smallCaps/>
      <w:color w:val="ED7D31" w:themeColor="accent2"/>
      <w:u w:val="single"/>
    </w:rPr>
  </w:style>
  <w:style w:type="character" w:styleId="IntenseReference">
    <w:name w:val="Intense Reference"/>
    <w:basedOn w:val="DefaultParagraphFont"/>
    <w:uiPriority w:val="32"/>
    <w:qFormat/>
    <w:rsid w:val="00081418"/>
    <w:rPr>
      <w:b/>
      <w:bCs/>
      <w:smallCaps/>
      <w:color w:val="ED7D31" w:themeColor="accent2"/>
      <w:spacing w:val="5"/>
      <w:u w:val="single"/>
    </w:rPr>
  </w:style>
  <w:style w:type="character" w:styleId="BookTitle">
    <w:name w:val="Book Title"/>
    <w:basedOn w:val="DefaultParagraphFont"/>
    <w:uiPriority w:val="33"/>
    <w:qFormat/>
    <w:rsid w:val="00081418"/>
    <w:rPr>
      <w:b/>
      <w:bCs/>
      <w:smallCaps/>
      <w:spacing w:val="5"/>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Pr>
  </w:style>
  <w:style w:type="paragraph" w:styleId="Revision">
    <w:name w:val="Revision"/>
    <w:hidden/>
    <w:uiPriority w:val="99"/>
    <w:semiHidden/>
    <w:rsid w:val="00903FE4"/>
    <w:pPr>
      <w:spacing w:after="0" w:line="240" w:lineRule="auto"/>
    </w:pPr>
  </w:style>
  <w:style w:type="paragraph" w:styleId="TOC2">
    <w:name w:val="toc 2"/>
    <w:basedOn w:val="Normal"/>
    <w:next w:val="Normal"/>
    <w:autoRedefine/>
    <w:uiPriority w:val="39"/>
    <w:unhideWhenUsed/>
    <w:rsid w:val="00E230F9"/>
    <w:pPr>
      <w:spacing w:after="100"/>
      <w:ind w:left="220"/>
    </w:pPr>
  </w:style>
  <w:style w:type="character" w:styleId="PlaceholderText">
    <w:name w:val="Placeholder Text"/>
    <w:basedOn w:val="DefaultParagraphFont"/>
    <w:uiPriority w:val="99"/>
    <w:semiHidden/>
    <w:rsid w:val="000B6F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1660">
      <w:bodyDiv w:val="1"/>
      <w:marLeft w:val="0"/>
      <w:marRight w:val="0"/>
      <w:marTop w:val="0"/>
      <w:marBottom w:val="0"/>
      <w:divBdr>
        <w:top w:val="none" w:sz="0" w:space="0" w:color="auto"/>
        <w:left w:val="none" w:sz="0" w:space="0" w:color="auto"/>
        <w:bottom w:val="none" w:sz="0" w:space="0" w:color="auto"/>
        <w:right w:val="none" w:sz="0" w:space="0" w:color="auto"/>
      </w:divBdr>
      <w:divsChild>
        <w:div w:id="1096750426">
          <w:marLeft w:val="720"/>
          <w:marRight w:val="0"/>
          <w:marTop w:val="200"/>
          <w:marBottom w:val="0"/>
          <w:divBdr>
            <w:top w:val="none" w:sz="0" w:space="0" w:color="auto"/>
            <w:left w:val="none" w:sz="0" w:space="0" w:color="auto"/>
            <w:bottom w:val="none" w:sz="0" w:space="0" w:color="auto"/>
            <w:right w:val="none" w:sz="0" w:space="0" w:color="auto"/>
          </w:divBdr>
        </w:div>
      </w:divsChild>
    </w:div>
    <w:div w:id="936643069">
      <w:bodyDiv w:val="1"/>
      <w:marLeft w:val="0"/>
      <w:marRight w:val="0"/>
      <w:marTop w:val="0"/>
      <w:marBottom w:val="0"/>
      <w:divBdr>
        <w:top w:val="none" w:sz="0" w:space="0" w:color="auto"/>
        <w:left w:val="none" w:sz="0" w:space="0" w:color="auto"/>
        <w:bottom w:val="none" w:sz="0" w:space="0" w:color="auto"/>
        <w:right w:val="none" w:sz="0" w:space="0" w:color="auto"/>
      </w:divBdr>
    </w:div>
    <w:div w:id="1064835015">
      <w:bodyDiv w:val="1"/>
      <w:marLeft w:val="0"/>
      <w:marRight w:val="0"/>
      <w:marTop w:val="0"/>
      <w:marBottom w:val="0"/>
      <w:divBdr>
        <w:top w:val="none" w:sz="0" w:space="0" w:color="auto"/>
        <w:left w:val="none" w:sz="0" w:space="0" w:color="auto"/>
        <w:bottom w:val="none" w:sz="0" w:space="0" w:color="auto"/>
        <w:right w:val="none" w:sz="0" w:space="0" w:color="auto"/>
      </w:divBdr>
      <w:divsChild>
        <w:div w:id="1401322830">
          <w:marLeft w:val="720"/>
          <w:marRight w:val="0"/>
          <w:marTop w:val="200"/>
          <w:marBottom w:val="213"/>
          <w:divBdr>
            <w:top w:val="none" w:sz="0" w:space="0" w:color="auto"/>
            <w:left w:val="none" w:sz="0" w:space="0" w:color="auto"/>
            <w:bottom w:val="none" w:sz="0" w:space="0" w:color="auto"/>
            <w:right w:val="none" w:sz="0" w:space="0" w:color="auto"/>
          </w:divBdr>
        </w:div>
      </w:divsChild>
    </w:div>
    <w:div w:id="1343896550">
      <w:bodyDiv w:val="1"/>
      <w:marLeft w:val="0"/>
      <w:marRight w:val="0"/>
      <w:marTop w:val="0"/>
      <w:marBottom w:val="0"/>
      <w:divBdr>
        <w:top w:val="none" w:sz="0" w:space="0" w:color="auto"/>
        <w:left w:val="none" w:sz="0" w:space="0" w:color="auto"/>
        <w:bottom w:val="none" w:sz="0" w:space="0" w:color="auto"/>
        <w:right w:val="none" w:sz="0" w:space="0" w:color="auto"/>
      </w:divBdr>
    </w:div>
    <w:div w:id="1635326872">
      <w:bodyDiv w:val="1"/>
      <w:marLeft w:val="0"/>
      <w:marRight w:val="0"/>
      <w:marTop w:val="0"/>
      <w:marBottom w:val="0"/>
      <w:divBdr>
        <w:top w:val="none" w:sz="0" w:space="0" w:color="auto"/>
        <w:left w:val="none" w:sz="0" w:space="0" w:color="auto"/>
        <w:bottom w:val="none" w:sz="0" w:space="0" w:color="auto"/>
        <w:right w:val="none" w:sz="0" w:space="0" w:color="auto"/>
      </w:divBdr>
    </w:div>
    <w:div w:id="196268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epccc.org/gacmo-too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unep-ccc@u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epccc.org/cdm-ji-pipe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D1937B-7A6B-4CB7-B13C-3D21D7DC20EE}">
  <we:reference id="a3b40b4f-8edf-490e-9df1-7e66f93912bf"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2VCFbp8IaDY0ezWtNQK1cv9enA==">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4B2652-28C0-4620-9914-063C4619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33</Pages>
  <Words>9837</Words>
  <Characters>53095</Characters>
  <Application>Microsoft Office Word</Application>
  <DocSecurity>0</DocSecurity>
  <Lines>442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DR Desgain</dc:creator>
  <cp:keywords/>
  <dc:description/>
  <cp:lastModifiedBy>Denis Desgain</cp:lastModifiedBy>
  <cp:revision>139</cp:revision>
  <cp:lastPrinted>2024-02-02T14:21:00Z</cp:lastPrinted>
  <dcterms:created xsi:type="dcterms:W3CDTF">2023-11-20T14:58:00Z</dcterms:created>
  <dcterms:modified xsi:type="dcterms:W3CDTF">2024-08-19T11:08:00Z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93d021c4619bb87d3dad779f7b5e72b4ea4a2daceb72921d25672ca48949ae7a</vt:lpwstr>
  </property>
</Properties>
</file>